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30E56801"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274E08">
        <w:rPr>
          <w:rFonts w:ascii="Arial" w:eastAsia="宋体" w:hAnsi="Arial" w:cs="Arial"/>
          <w:b/>
          <w:szCs w:val="24"/>
          <w:lang w:eastAsia="zh-CN"/>
        </w:rPr>
        <w:t>5</w:t>
      </w:r>
      <w:r w:rsidR="000F1696" w:rsidRPr="003859D4">
        <w:rPr>
          <w:rFonts w:ascii="Arial" w:eastAsia="MS Mincho" w:hAnsi="Arial"/>
          <w:b/>
          <w:szCs w:val="24"/>
          <w:lang w:val="en-US" w:eastAsia="en-US"/>
        </w:rPr>
        <w:tab/>
      </w:r>
      <w:r w:rsidR="0084485C" w:rsidRPr="0084485C">
        <w:rPr>
          <w:rFonts w:ascii="Arial" w:eastAsia="MS Mincho" w:hAnsi="Arial"/>
          <w:b/>
          <w:szCs w:val="24"/>
          <w:lang w:val="en-US" w:eastAsia="en-US"/>
        </w:rPr>
        <w:t>R4-2507001</w:t>
      </w:r>
    </w:p>
    <w:p w14:paraId="1BF83A33" w14:textId="03D3B679" w:rsidR="000F1696" w:rsidRPr="000F1696" w:rsidRDefault="00274E08" w:rsidP="000F1696">
      <w:pPr>
        <w:tabs>
          <w:tab w:val="left" w:pos="3106"/>
          <w:tab w:val="left" w:pos="3890"/>
        </w:tabs>
        <w:snapToGrid w:val="0"/>
        <w:spacing w:after="60"/>
        <w:ind w:left="376" w:hanging="376"/>
        <w:rPr>
          <w:rFonts w:ascii="Arial" w:eastAsiaTheme="minorEastAsia" w:hAnsi="Arial"/>
          <w:b/>
          <w:szCs w:val="24"/>
          <w:lang w:val="en-US" w:eastAsia="zh-CN"/>
        </w:rPr>
      </w:pPr>
      <w:r w:rsidRPr="0041243D">
        <w:rPr>
          <w:rFonts w:ascii="Arial" w:eastAsia="宋体" w:hAnsi="Arial" w:cs="Arial"/>
          <w:b/>
          <w:szCs w:val="24"/>
          <w:lang w:eastAsia="zh-CN"/>
        </w:rPr>
        <w:t>Malta, MT, 19</w:t>
      </w:r>
      <w:r w:rsidRPr="0041243D">
        <w:rPr>
          <w:rFonts w:ascii="Arial" w:eastAsia="宋体" w:hAnsi="Arial" w:cs="Arial"/>
          <w:b/>
          <w:szCs w:val="24"/>
          <w:vertAlign w:val="superscript"/>
          <w:lang w:eastAsia="zh-CN"/>
        </w:rPr>
        <w:t>th</w:t>
      </w:r>
      <w:r w:rsidRPr="0041243D">
        <w:rPr>
          <w:rFonts w:ascii="Arial" w:eastAsia="宋体" w:hAnsi="Arial" w:cs="Arial"/>
          <w:b/>
          <w:szCs w:val="24"/>
          <w:lang w:eastAsia="zh-CN"/>
        </w:rPr>
        <w:t xml:space="preserve"> – 23</w:t>
      </w:r>
      <w:r w:rsidRPr="0041243D">
        <w:rPr>
          <w:rFonts w:ascii="Arial" w:eastAsia="宋体" w:hAnsi="Arial" w:cs="Arial"/>
          <w:b/>
          <w:szCs w:val="24"/>
          <w:vertAlign w:val="superscript"/>
          <w:lang w:eastAsia="zh-CN"/>
        </w:rPr>
        <w:t xml:space="preserve">rd </w:t>
      </w:r>
      <w:r w:rsidRPr="0041243D">
        <w:rPr>
          <w:rFonts w:ascii="Arial" w:eastAsia="宋体" w:hAnsi="Arial" w:cs="Arial"/>
          <w:b/>
          <w:szCs w:val="24"/>
          <w:lang w:eastAsia="zh-CN"/>
        </w:rPr>
        <w:t>May,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06A3D914"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274E08">
        <w:rPr>
          <w:rFonts w:ascii="Arial" w:eastAsia="MS Mincho" w:hAnsi="Arial"/>
          <w:b/>
          <w:szCs w:val="24"/>
          <w:lang w:val="x-none" w:eastAsia="en-US"/>
        </w:rPr>
        <w:t xml:space="preserve">Further discuss </w:t>
      </w:r>
      <w:r w:rsidR="00414D02">
        <w:rPr>
          <w:rFonts w:ascii="Arial" w:eastAsia="宋体" w:hAnsi="Arial"/>
          <w:b/>
          <w:szCs w:val="24"/>
          <w:lang w:val="x-none" w:eastAsia="zh-CN"/>
        </w:rPr>
        <w:t>R</w:t>
      </w:r>
      <w:r w:rsidR="00133BF8">
        <w:rPr>
          <w:rFonts w:ascii="Arial" w:eastAsia="宋体" w:hAnsi="Arial"/>
          <w:b/>
          <w:szCs w:val="24"/>
          <w:lang w:val="x-none" w:eastAsia="zh-CN"/>
        </w:rPr>
        <w:t xml:space="preserve">F </w:t>
      </w:r>
      <w:r w:rsidR="00B25728">
        <w:rPr>
          <w:rFonts w:ascii="Arial" w:eastAsia="宋体" w:hAnsi="Arial"/>
          <w:b/>
          <w:szCs w:val="24"/>
          <w:lang w:val="x-none" w:eastAsia="zh-CN"/>
        </w:rPr>
        <w:t xml:space="preserve">Rx </w:t>
      </w:r>
      <w:r w:rsidR="00133BF8">
        <w:rPr>
          <w:rFonts w:ascii="Arial" w:eastAsia="宋体" w:hAnsi="Arial"/>
          <w:b/>
          <w:szCs w:val="24"/>
          <w:lang w:val="x-none" w:eastAsia="zh-CN"/>
        </w:rPr>
        <w:t>r</w:t>
      </w:r>
      <w:r w:rsidR="00414D02">
        <w:rPr>
          <w:rFonts w:ascii="Arial" w:eastAsia="宋体" w:hAnsi="Arial"/>
          <w:b/>
          <w:szCs w:val="24"/>
          <w:lang w:val="x-none" w:eastAsia="zh-CN"/>
        </w:rPr>
        <w:t>equirements</w:t>
      </w:r>
      <w:r w:rsidR="00D603D9">
        <w:rPr>
          <w:rFonts w:ascii="Arial" w:eastAsia="宋体" w:hAnsi="Arial"/>
          <w:b/>
          <w:szCs w:val="24"/>
          <w:lang w:val="x-none" w:eastAsia="zh-CN"/>
        </w:rPr>
        <w:t xml:space="preserve"> </w:t>
      </w:r>
      <w:r w:rsidR="00133BF8">
        <w:rPr>
          <w:rFonts w:ascii="Arial" w:eastAsia="宋体" w:hAnsi="Arial" w:hint="eastAsia"/>
          <w:b/>
          <w:szCs w:val="24"/>
          <w:lang w:val="x-none" w:eastAsia="zh-CN"/>
        </w:rPr>
        <w:t>for</w:t>
      </w:r>
      <w:r w:rsidR="00C346FA">
        <w:rPr>
          <w:rFonts w:ascii="Arial" w:eastAsia="宋体" w:hAnsi="Arial"/>
          <w:b/>
          <w:szCs w:val="24"/>
          <w:lang w:val="x-none" w:eastAsia="zh-CN"/>
        </w:rPr>
        <w:t xml:space="preserve"> PC2</w:t>
      </w:r>
      <w:r w:rsidR="00D603D9">
        <w:rPr>
          <w:rFonts w:ascii="Arial" w:eastAsia="宋体" w:hAnsi="Arial"/>
          <w:b/>
          <w:szCs w:val="24"/>
          <w:lang w:val="x-none" w:eastAsia="zh-CN"/>
        </w:rPr>
        <w:t xml:space="preserve"> RedCap </w:t>
      </w:r>
      <w:r w:rsidR="00133BF8">
        <w:rPr>
          <w:rFonts w:ascii="Arial" w:eastAsia="宋体" w:hAnsi="Arial"/>
          <w:b/>
          <w:szCs w:val="24"/>
          <w:lang w:val="x-none" w:eastAsia="zh-CN"/>
        </w:rPr>
        <w:t>in</w:t>
      </w:r>
      <w:r w:rsidR="00D603D9">
        <w:rPr>
          <w:rFonts w:ascii="Arial" w:eastAsia="宋体" w:hAnsi="Arial"/>
          <w:b/>
          <w:szCs w:val="24"/>
          <w:lang w:val="x-none" w:eastAsia="zh-CN"/>
        </w:rPr>
        <w:t xml:space="preserve"> </w:t>
      </w:r>
      <w:r w:rsidR="00B22CEF">
        <w:rPr>
          <w:rFonts w:ascii="Arial" w:eastAsia="宋体" w:hAnsi="Arial" w:hint="eastAsia"/>
          <w:b/>
          <w:szCs w:val="24"/>
          <w:lang w:val="x-none" w:eastAsia="zh-CN"/>
        </w:rPr>
        <w:t>F</w:t>
      </w:r>
      <w:r w:rsidR="00D603D9">
        <w:rPr>
          <w:rFonts w:ascii="Arial" w:eastAsia="宋体" w:hAnsi="Arial"/>
          <w:b/>
          <w:szCs w:val="24"/>
          <w:lang w:val="x-none" w:eastAsia="zh-CN"/>
        </w:rPr>
        <w:t>DD bands</w:t>
      </w:r>
    </w:p>
    <w:p w14:paraId="42B42455" w14:textId="5FF8A4C6"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D7417D">
        <w:rPr>
          <w:rFonts w:ascii="Arial" w:eastAsia="宋体" w:hAnsi="Arial"/>
          <w:b/>
          <w:szCs w:val="24"/>
          <w:lang w:val="x-none" w:eastAsia="zh-CN"/>
        </w:rPr>
        <w:t>7</w:t>
      </w:r>
      <w:r w:rsidR="007D0AF5" w:rsidRPr="007D0AF5">
        <w:rPr>
          <w:rFonts w:ascii="Arial" w:eastAsia="宋体" w:hAnsi="Arial"/>
          <w:b/>
          <w:szCs w:val="24"/>
          <w:lang w:val="x-none" w:eastAsia="zh-CN"/>
        </w:rPr>
        <w:t>.</w:t>
      </w:r>
      <w:r w:rsidR="00A65022">
        <w:rPr>
          <w:rFonts w:ascii="Arial" w:eastAsia="宋体" w:hAnsi="Arial"/>
          <w:b/>
          <w:szCs w:val="24"/>
          <w:lang w:val="x-none" w:eastAsia="zh-CN"/>
        </w:rPr>
        <w:t>6</w:t>
      </w:r>
      <w:r w:rsidR="00830A8A">
        <w:rPr>
          <w:rFonts w:ascii="Arial" w:eastAsia="宋体" w:hAnsi="Arial"/>
          <w:b/>
          <w:szCs w:val="24"/>
          <w:lang w:val="x-none" w:eastAsia="zh-CN"/>
        </w:rPr>
        <w:t>.</w:t>
      </w:r>
      <w:r w:rsidR="00905D57">
        <w:rPr>
          <w:rFonts w:ascii="Arial" w:eastAsia="宋体" w:hAnsi="Arial"/>
          <w:b/>
          <w:szCs w:val="24"/>
          <w:lang w:val="x-none" w:eastAsia="zh-CN"/>
        </w:rPr>
        <w:t>2</w:t>
      </w:r>
    </w:p>
    <w:p w14:paraId="13E29F42"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09DC5C96" w14:textId="46475788"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w:t>
      </w:r>
      <w:r w:rsidR="00274E08">
        <w:rPr>
          <w:rFonts w:eastAsia="宋体"/>
          <w:sz w:val="21"/>
          <w:szCs w:val="21"/>
          <w:lang w:val="en-GB" w:eastAsia="zh-CN"/>
        </w:rPr>
        <w:t xml:space="preserve">further </w:t>
      </w:r>
      <w:r w:rsidRPr="003A78B9">
        <w:rPr>
          <w:rFonts w:eastAsia="宋体" w:hint="eastAsia"/>
          <w:sz w:val="21"/>
          <w:szCs w:val="21"/>
          <w:lang w:val="en-GB" w:eastAsia="zh-CN"/>
        </w:rPr>
        <w:t xml:space="preserve">discusses </w:t>
      </w:r>
      <w:r w:rsidR="001A7461">
        <w:rPr>
          <w:rFonts w:eastAsia="宋体"/>
          <w:sz w:val="21"/>
          <w:szCs w:val="21"/>
          <w:lang w:val="en-GB" w:eastAsia="zh-CN"/>
        </w:rPr>
        <w:t>the</w:t>
      </w:r>
      <w:r w:rsidR="00AE5159">
        <w:rPr>
          <w:rFonts w:eastAsia="宋体"/>
          <w:sz w:val="21"/>
          <w:szCs w:val="21"/>
          <w:lang w:val="en-GB" w:eastAsia="zh-CN"/>
        </w:rPr>
        <w:t xml:space="preserve"> </w:t>
      </w:r>
      <w:r w:rsidR="00A50672" w:rsidRPr="00A50672">
        <w:rPr>
          <w:rFonts w:eastAsia="宋体"/>
          <w:sz w:val="21"/>
          <w:szCs w:val="21"/>
          <w:lang w:val="en-GB" w:eastAsia="zh-CN"/>
        </w:rPr>
        <w:t xml:space="preserve">REFSENS </w:t>
      </w:r>
      <w:r w:rsidR="00A50672">
        <w:rPr>
          <w:rFonts w:eastAsia="宋体"/>
          <w:sz w:val="21"/>
          <w:szCs w:val="21"/>
          <w:lang w:val="en-GB" w:eastAsia="zh-CN"/>
        </w:rPr>
        <w:t xml:space="preserve">requirements </w:t>
      </w:r>
      <w:r w:rsidR="00A50672" w:rsidRPr="00A50672">
        <w:rPr>
          <w:rFonts w:eastAsia="宋体"/>
          <w:sz w:val="21"/>
          <w:szCs w:val="21"/>
          <w:lang w:val="en-GB" w:eastAsia="zh-CN"/>
        </w:rPr>
        <w:t xml:space="preserve">for PC2 RedCap </w:t>
      </w:r>
      <w:r w:rsidR="00C43096">
        <w:rPr>
          <w:rFonts w:eastAsia="宋体"/>
          <w:sz w:val="21"/>
          <w:szCs w:val="21"/>
          <w:lang w:val="en-GB" w:eastAsia="zh-CN"/>
        </w:rPr>
        <w:t xml:space="preserve">with </w:t>
      </w:r>
      <w:r w:rsidR="00A50672" w:rsidRPr="00A50672">
        <w:rPr>
          <w:rFonts w:eastAsia="宋体"/>
          <w:sz w:val="21"/>
          <w:szCs w:val="21"/>
          <w:lang w:val="en-GB" w:eastAsia="zh-CN"/>
        </w:rPr>
        <w:t>1Rx in FDD</w:t>
      </w:r>
      <w:r w:rsidR="00C43096">
        <w:rPr>
          <w:rFonts w:eastAsia="宋体"/>
          <w:sz w:val="21"/>
          <w:szCs w:val="21"/>
          <w:lang w:val="en-GB" w:eastAsia="zh-CN"/>
        </w:rPr>
        <w:t xml:space="preserve"> bands</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665687D" w14:textId="77777777" w:rsidR="00FB41C5" w:rsidRPr="009A2A18" w:rsidRDefault="00FB41C5" w:rsidP="00FB41C5">
      <w:pPr>
        <w:snapToGrid w:val="0"/>
        <w:spacing w:after="120"/>
        <w:rPr>
          <w:rFonts w:eastAsiaTheme="minorEastAsia"/>
          <w:sz w:val="21"/>
          <w:szCs w:val="21"/>
          <w:lang w:val="en-US" w:eastAsia="zh-CN"/>
        </w:rPr>
      </w:pPr>
      <w:r>
        <w:rPr>
          <w:rFonts w:eastAsiaTheme="minorEastAsia" w:hint="eastAsia"/>
          <w:sz w:val="21"/>
          <w:szCs w:val="21"/>
          <w:lang w:val="en-US" w:eastAsia="zh-CN"/>
        </w:rPr>
        <w:t>By</w:t>
      </w:r>
      <w:r>
        <w:rPr>
          <w:rFonts w:eastAsiaTheme="minorEastAsia"/>
          <w:sz w:val="21"/>
          <w:szCs w:val="21"/>
          <w:lang w:val="en-US" w:eastAsia="zh-CN"/>
        </w:rPr>
        <w:t xml:space="preserve"> applying </w:t>
      </w:r>
      <w:r w:rsidRPr="009A2A18">
        <w:rPr>
          <w:rFonts w:eastAsiaTheme="minorEastAsia"/>
          <w:sz w:val="21"/>
          <w:szCs w:val="21"/>
          <w:lang w:val="en-US" w:eastAsia="zh-CN"/>
        </w:rPr>
        <w:t>ΔR</w:t>
      </w:r>
      <w:r w:rsidRPr="009A2A18">
        <w:rPr>
          <w:rFonts w:eastAsiaTheme="minorEastAsia"/>
          <w:sz w:val="21"/>
          <w:szCs w:val="21"/>
          <w:vertAlign w:val="subscript"/>
          <w:lang w:val="en-US" w:eastAsia="zh-CN"/>
        </w:rPr>
        <w:t>1R</w:t>
      </w:r>
      <w:r w:rsidRPr="009A2A18">
        <w:rPr>
          <w:rFonts w:eastAsiaTheme="minorEastAsia"/>
          <w:sz w:val="21"/>
          <w:szCs w:val="21"/>
          <w:lang w:val="en-US" w:eastAsia="zh-CN"/>
        </w:rPr>
        <w:t xml:space="preserve"> to </w:t>
      </w:r>
      <w:r w:rsidRPr="009A2A18">
        <w:rPr>
          <w:rFonts w:eastAsiaTheme="minorEastAsia" w:hint="eastAsia"/>
          <w:sz w:val="21"/>
          <w:szCs w:val="21"/>
          <w:lang w:val="en-US" w:eastAsia="zh-CN"/>
        </w:rPr>
        <w:t>R</w:t>
      </w:r>
      <w:r w:rsidRPr="009A2A18">
        <w:rPr>
          <w:rFonts w:eastAsiaTheme="minorEastAsia"/>
          <w:sz w:val="21"/>
          <w:szCs w:val="21"/>
          <w:lang w:val="en-US" w:eastAsia="zh-CN"/>
        </w:rPr>
        <w:t>EFSENS (</w:t>
      </w:r>
      <w:r w:rsidRPr="009A2A18">
        <w:rPr>
          <w:rFonts w:eastAsiaTheme="minorEastAsia" w:hint="eastAsia"/>
          <w:sz w:val="21"/>
          <w:szCs w:val="21"/>
          <w:lang w:val="en-US" w:eastAsia="zh-CN"/>
        </w:rPr>
        <w:t>1</w:t>
      </w:r>
      <w:r w:rsidRPr="009A2A18">
        <w:rPr>
          <w:rFonts w:eastAsiaTheme="minorEastAsia"/>
          <w:sz w:val="21"/>
          <w:szCs w:val="21"/>
          <w:lang w:val="en-US" w:eastAsia="zh-CN"/>
        </w:rPr>
        <w:t xml:space="preserve">Tx (26dBm) /2Rx) </w:t>
      </w:r>
      <w:r>
        <w:rPr>
          <w:rFonts w:eastAsiaTheme="minorEastAsia"/>
          <w:sz w:val="21"/>
          <w:szCs w:val="21"/>
          <w:lang w:val="en-US" w:eastAsia="zh-CN"/>
        </w:rPr>
        <w:t xml:space="preserve">as expressed by following formula </w:t>
      </w:r>
      <w:r w:rsidRPr="009A2A18">
        <w:rPr>
          <w:rFonts w:eastAsiaTheme="minorEastAsia"/>
          <w:sz w:val="21"/>
          <w:szCs w:val="21"/>
          <w:lang w:val="en-US" w:eastAsia="zh-CN"/>
        </w:rPr>
        <w:t xml:space="preserve">is a propriate way to specify the PC2 1Rx RedCap </w:t>
      </w:r>
      <w:r>
        <w:rPr>
          <w:rFonts w:eastAsiaTheme="minorEastAsia"/>
          <w:sz w:val="21"/>
          <w:szCs w:val="21"/>
          <w:lang w:val="en-US" w:eastAsia="zh-CN"/>
        </w:rPr>
        <w:t xml:space="preserve">UE </w:t>
      </w:r>
      <w:r w:rsidRPr="009A2A18">
        <w:rPr>
          <w:rFonts w:eastAsiaTheme="minorEastAsia"/>
          <w:sz w:val="21"/>
          <w:szCs w:val="21"/>
          <w:lang w:val="en-US" w:eastAsia="zh-CN"/>
        </w:rPr>
        <w:t>requirement</w:t>
      </w:r>
      <w:r>
        <w:rPr>
          <w:rFonts w:eastAsiaTheme="minorEastAsia"/>
          <w:sz w:val="21"/>
          <w:szCs w:val="21"/>
          <w:lang w:val="en-US" w:eastAsia="zh-CN"/>
        </w:rPr>
        <w:t>, because o</w:t>
      </w:r>
      <w:r w:rsidRPr="009A2A18">
        <w:rPr>
          <w:rFonts w:eastAsiaTheme="minorEastAsia"/>
          <w:sz w:val="21"/>
          <w:szCs w:val="21"/>
          <w:lang w:val="en-US" w:eastAsia="zh-CN"/>
        </w:rPr>
        <w:t>nly the operating bands for which PC2 on non-RedCap UE has been introduced can be considered for RedCap UE</w:t>
      </w:r>
      <w:r>
        <w:rPr>
          <w:rFonts w:eastAsiaTheme="minorEastAsia"/>
          <w:sz w:val="21"/>
          <w:szCs w:val="21"/>
          <w:lang w:val="en-US" w:eastAsia="zh-CN"/>
        </w:rPr>
        <w:t xml:space="preserve">. </w:t>
      </w:r>
    </w:p>
    <w:p w14:paraId="6B6657B4" w14:textId="77777777" w:rsidR="00FB41C5" w:rsidRDefault="00FB41C5" w:rsidP="00FB41C5">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PC2 RedCap 1Rx</w:t>
      </w:r>
      <w:r>
        <w:rPr>
          <w:rFonts w:eastAsiaTheme="minorEastAsia"/>
          <w:sz w:val="21"/>
          <w:szCs w:val="21"/>
          <w:lang w:val="en-US" w:eastAsia="zh-CN"/>
        </w:rPr>
        <w:t>=REFSENS</w:t>
      </w:r>
      <w:r>
        <w:rPr>
          <w:rFonts w:eastAsiaTheme="minorEastAsia"/>
          <w:sz w:val="21"/>
          <w:szCs w:val="21"/>
          <w:vertAlign w:val="subscript"/>
          <w:lang w:val="en-US" w:eastAsia="zh-CN"/>
        </w:rPr>
        <w:t>PC2 2Rx/1Tx</w:t>
      </w:r>
      <w:r>
        <w:rPr>
          <w:rFonts w:eastAsiaTheme="minorEastAsia"/>
          <w:sz w:val="21"/>
          <w:szCs w:val="21"/>
          <w:lang w:val="en-US" w:eastAsia="zh-CN"/>
        </w:rPr>
        <w:t xml:space="preserve"> + </w:t>
      </w:r>
      <w:r w:rsidRPr="009032B6">
        <w:rPr>
          <w:sz w:val="21"/>
          <w:szCs w:val="16"/>
        </w:rPr>
        <w:t>ΔR</w:t>
      </w:r>
      <w:r w:rsidRPr="009032B6">
        <w:rPr>
          <w:sz w:val="21"/>
          <w:szCs w:val="16"/>
          <w:vertAlign w:val="subscript"/>
        </w:rPr>
        <w:t>1R</w:t>
      </w:r>
    </w:p>
    <w:p w14:paraId="55498596" w14:textId="19F2E731" w:rsidR="00875F74" w:rsidRDefault="00FB41C5" w:rsidP="00917ACD">
      <w:pPr>
        <w:snapToGrid w:val="0"/>
        <w:spacing w:after="120"/>
        <w:rPr>
          <w:rFonts w:eastAsiaTheme="minorEastAsia"/>
          <w:sz w:val="21"/>
          <w:szCs w:val="21"/>
          <w:lang w:val="en-US" w:eastAsia="zh-CN"/>
        </w:rPr>
      </w:pPr>
      <w:r>
        <w:rPr>
          <w:rFonts w:eastAsiaTheme="minorEastAsia"/>
          <w:sz w:val="21"/>
          <w:szCs w:val="21"/>
          <w:lang w:val="en-US" w:eastAsia="zh-CN"/>
        </w:rPr>
        <w:t>Thus, we have the lastest WF [1</w:t>
      </w:r>
      <w:r w:rsidR="00875F74">
        <w:rPr>
          <w:rFonts w:eastAsiaTheme="minorEastAsia"/>
          <w:sz w:val="21"/>
          <w:szCs w:val="21"/>
          <w:lang w:val="en-US" w:eastAsia="zh-CN"/>
        </w:rPr>
        <w:t xml:space="preserve">] </w:t>
      </w:r>
      <w:r w:rsidR="005E754D">
        <w:rPr>
          <w:rFonts w:eastAsiaTheme="minorEastAsia"/>
          <w:sz w:val="21"/>
          <w:szCs w:val="21"/>
          <w:lang w:val="en-US" w:eastAsia="zh-CN"/>
        </w:rPr>
        <w:t>approved</w:t>
      </w:r>
      <w:r w:rsidR="00875F74">
        <w:rPr>
          <w:rFonts w:eastAsiaTheme="minorEastAsia"/>
          <w:sz w:val="21"/>
          <w:szCs w:val="21"/>
          <w:lang w:val="en-US" w:eastAsia="zh-CN"/>
        </w:rPr>
        <w:t xml:space="preserve"> </w:t>
      </w:r>
      <w:r w:rsidR="005E754D">
        <w:rPr>
          <w:rFonts w:eastAsiaTheme="minorEastAsia"/>
          <w:sz w:val="21"/>
          <w:szCs w:val="21"/>
          <w:lang w:val="en-US" w:eastAsia="zh-CN"/>
        </w:rPr>
        <w:t>with</w:t>
      </w:r>
      <w:r w:rsidR="00875F74">
        <w:rPr>
          <w:rFonts w:eastAsiaTheme="minorEastAsia"/>
          <w:sz w:val="21"/>
          <w:szCs w:val="21"/>
          <w:lang w:val="en-US" w:eastAsia="zh-CN"/>
        </w:rPr>
        <w:t xml:space="preserve"> </w:t>
      </w:r>
      <w:r w:rsidR="005E754D">
        <w:rPr>
          <w:rFonts w:eastAsiaTheme="minorEastAsia"/>
          <w:sz w:val="21"/>
          <w:szCs w:val="21"/>
          <w:lang w:val="en-US" w:eastAsia="zh-CN"/>
        </w:rPr>
        <w:t>reaching</w:t>
      </w:r>
      <w:r w:rsidR="00875F74">
        <w:rPr>
          <w:rFonts w:eastAsiaTheme="minorEastAsia"/>
          <w:sz w:val="21"/>
          <w:szCs w:val="21"/>
          <w:lang w:val="en-US" w:eastAsia="zh-CN"/>
        </w:rPr>
        <w:t xml:space="preserve"> the following agreements regarding </w:t>
      </w:r>
      <w:r w:rsidR="00FC3F95" w:rsidRPr="00A50672">
        <w:rPr>
          <w:rFonts w:eastAsia="宋体"/>
          <w:sz w:val="21"/>
          <w:szCs w:val="21"/>
          <w:lang w:eastAsia="zh-CN"/>
        </w:rPr>
        <w:t xml:space="preserve">PC2 RedCap </w:t>
      </w:r>
      <w:r w:rsidR="00C43096">
        <w:rPr>
          <w:rFonts w:eastAsia="宋体"/>
          <w:sz w:val="21"/>
          <w:szCs w:val="21"/>
          <w:lang w:eastAsia="zh-CN"/>
        </w:rPr>
        <w:t xml:space="preserve">with </w:t>
      </w:r>
      <w:r w:rsidR="00FC3F95" w:rsidRPr="00A50672">
        <w:rPr>
          <w:rFonts w:eastAsia="宋体"/>
          <w:sz w:val="21"/>
          <w:szCs w:val="21"/>
          <w:lang w:eastAsia="zh-CN"/>
        </w:rPr>
        <w:t>1Rx in FDD</w:t>
      </w:r>
      <w:r w:rsidR="00C43096">
        <w:rPr>
          <w:rFonts w:eastAsia="宋体"/>
          <w:sz w:val="21"/>
          <w:szCs w:val="21"/>
          <w:lang w:eastAsia="zh-CN"/>
        </w:rPr>
        <w:t xml:space="preserve"> bands</w:t>
      </w:r>
      <w:r w:rsidR="00875F74">
        <w:rPr>
          <w:rFonts w:eastAsiaTheme="minorEastAsia"/>
          <w:sz w:val="21"/>
          <w:szCs w:val="21"/>
          <w:lang w:val="en-US" w:eastAsia="zh-CN"/>
        </w:rPr>
        <w:t>.</w:t>
      </w:r>
    </w:p>
    <w:tbl>
      <w:tblPr>
        <w:tblStyle w:val="af0"/>
        <w:tblW w:w="0" w:type="auto"/>
        <w:tblLook w:val="04A0" w:firstRow="1" w:lastRow="0" w:firstColumn="1" w:lastColumn="0" w:noHBand="0" w:noVBand="1"/>
      </w:tblPr>
      <w:tblGrid>
        <w:gridCol w:w="9514"/>
      </w:tblGrid>
      <w:tr w:rsidR="00875F74" w14:paraId="254D6FAE" w14:textId="77777777" w:rsidTr="00875F74">
        <w:tc>
          <w:tcPr>
            <w:tcW w:w="9514" w:type="dxa"/>
          </w:tcPr>
          <w:p w14:paraId="07E700B8" w14:textId="77777777" w:rsidR="002F29A8" w:rsidRDefault="002F29A8" w:rsidP="002F29A8">
            <w:pPr>
              <w:rPr>
                <w:b/>
                <w:u w:val="single"/>
                <w:lang w:eastAsia="zh-CN"/>
              </w:rPr>
            </w:pPr>
            <w:bookmarkStart w:id="2" w:name="_Hlk193979253"/>
            <w:r>
              <w:rPr>
                <w:b/>
                <w:u w:val="single"/>
                <w:lang w:eastAsia="ko-KR"/>
              </w:rPr>
              <w:t>Issue 1-1</w:t>
            </w:r>
            <w:r>
              <w:rPr>
                <w:rFonts w:hint="eastAsia"/>
                <w:b/>
                <w:u w:val="single"/>
                <w:lang w:eastAsia="zh-CN"/>
              </w:rPr>
              <w:t>-</w:t>
            </w:r>
            <w:r>
              <w:rPr>
                <w:b/>
                <w:u w:val="single"/>
                <w:lang w:eastAsia="zh-CN"/>
              </w:rPr>
              <w:t>1</w:t>
            </w:r>
            <w:r>
              <w:rPr>
                <w:b/>
                <w:u w:val="single"/>
                <w:lang w:eastAsia="ko-KR"/>
              </w:rPr>
              <w:t>: REFSENS for 1Rx in FD-FDD</w:t>
            </w:r>
          </w:p>
          <w:p w14:paraId="44134BCA" w14:textId="77777777" w:rsidR="002F29A8" w:rsidRPr="00490491" w:rsidRDefault="002F29A8" w:rsidP="002F29A8">
            <w:pPr>
              <w:rPr>
                <w:b/>
                <w:bCs/>
              </w:rPr>
            </w:pPr>
            <w:r w:rsidRPr="00780E4A">
              <w:rPr>
                <w:rFonts w:hint="eastAsia"/>
                <w:b/>
                <w:bCs/>
              </w:rPr>
              <w:t>A</w:t>
            </w:r>
            <w:r w:rsidRPr="00780E4A">
              <w:rPr>
                <w:b/>
                <w:bCs/>
              </w:rPr>
              <w:t>greement:</w:t>
            </w:r>
            <w:r>
              <w:rPr>
                <w:b/>
                <w:bCs/>
              </w:rPr>
              <w:t xml:space="preserve"> </w:t>
            </w:r>
            <w:r>
              <w:t>Consider the</w:t>
            </w:r>
            <w:r w:rsidRPr="00A42C30">
              <w:t xml:space="preserve"> following formats for </w:t>
            </w:r>
            <w:r>
              <w:t>specifying REFSENS for 1Rx PC2 RedCap in FD-FDD</w:t>
            </w:r>
          </w:p>
          <w:p w14:paraId="334F6005" w14:textId="77777777" w:rsidR="002F29A8" w:rsidRPr="00490491" w:rsidRDefault="002F29A8" w:rsidP="002F29A8">
            <w:pPr>
              <w:pStyle w:val="a7"/>
              <w:numPr>
                <w:ilvl w:val="0"/>
                <w:numId w:val="50"/>
              </w:numPr>
              <w:ind w:firstLineChars="0"/>
            </w:pPr>
            <w:r w:rsidRPr="00490491">
              <w:t xml:space="preserve">Option1: </w:t>
            </w:r>
            <w:r w:rsidRPr="00490491">
              <w:rPr>
                <w:rFonts w:hint="eastAsia"/>
              </w:rPr>
              <w:t>R</w:t>
            </w:r>
            <w:r w:rsidRPr="00490491">
              <w:t>EFSENS (</w:t>
            </w:r>
            <w:r w:rsidRPr="00490491">
              <w:rPr>
                <w:rFonts w:hint="eastAsia"/>
              </w:rPr>
              <w:t>1</w:t>
            </w:r>
            <w:r w:rsidRPr="00490491">
              <w:t>Tx (26dBm) /2Rx) + ΔR</w:t>
            </w:r>
            <w:r w:rsidRPr="00647923">
              <w:rPr>
                <w:vertAlign w:val="subscript"/>
              </w:rPr>
              <w:t>1R</w:t>
            </w:r>
            <w:r w:rsidRPr="00490491">
              <w:t> : ΔR</w:t>
            </w:r>
            <w:r w:rsidRPr="00B84355">
              <w:rPr>
                <w:vertAlign w:val="subscript"/>
              </w:rPr>
              <w:t>1R</w:t>
            </w:r>
            <w:r w:rsidRPr="00490491">
              <w:t xml:space="preserve"> </w:t>
            </w:r>
            <w:r>
              <w:t>may be</w:t>
            </w:r>
            <w:r w:rsidRPr="00490491">
              <w:t xml:space="preserve"> specified based on RSD ranges</w:t>
            </w:r>
          </w:p>
          <w:p w14:paraId="07237F47" w14:textId="77777777" w:rsidR="002F29A8" w:rsidRDefault="002F29A8" w:rsidP="002F29A8">
            <w:pPr>
              <w:pStyle w:val="a7"/>
              <w:numPr>
                <w:ilvl w:val="1"/>
                <w:numId w:val="51"/>
              </w:numPr>
              <w:ind w:firstLineChars="0"/>
            </w:pPr>
            <w:r>
              <w:t xml:space="preserve">Flat 3dB </w:t>
            </w:r>
            <w:r w:rsidRPr="00490491">
              <w:t>ΔR</w:t>
            </w:r>
            <w:r w:rsidRPr="00561826">
              <w:rPr>
                <w:rFonts w:eastAsia="宋体"/>
                <w:vertAlign w:val="subscript"/>
              </w:rPr>
              <w:t xml:space="preserve"> </w:t>
            </w:r>
            <w:r w:rsidRPr="00561826">
              <w:rPr>
                <w:vertAlign w:val="subscript"/>
              </w:rPr>
              <w:t>1R</w:t>
            </w:r>
            <w:r>
              <w:t xml:space="preserve"> for all CBW no larger than 20MHz or </w:t>
            </w:r>
            <w:r w:rsidRPr="00B84355">
              <w:rPr>
                <w:rFonts w:hint="eastAsia"/>
              </w:rPr>
              <w:t>use</w:t>
            </w:r>
            <w:r>
              <w:t xml:space="preserve"> values for FDD bands in table 7.3I.2-1 for bands whose PC2 1Tx/2RX RSD is 0dB.</w:t>
            </w:r>
          </w:p>
          <w:p w14:paraId="77D68A00" w14:textId="77777777" w:rsidR="002F29A8" w:rsidRDefault="002F29A8" w:rsidP="002F29A8">
            <w:pPr>
              <w:pStyle w:val="a7"/>
              <w:numPr>
                <w:ilvl w:val="1"/>
                <w:numId w:val="51"/>
              </w:numPr>
              <w:ind w:firstLineChars="0"/>
            </w:pPr>
            <w:r>
              <w:t>Companies to evaluate REFSENS for other bands.</w:t>
            </w:r>
          </w:p>
          <w:p w14:paraId="7C791F94" w14:textId="77777777" w:rsidR="002F29A8" w:rsidRDefault="002F29A8" w:rsidP="002F29A8">
            <w:pPr>
              <w:pStyle w:val="a7"/>
              <w:numPr>
                <w:ilvl w:val="1"/>
                <w:numId w:val="51"/>
              </w:numPr>
              <w:ind w:firstLineChars="0"/>
            </w:pPr>
            <w:r>
              <w:t>The format in which the REFSENS is shown in the specs is TBD pending evaluations.</w:t>
            </w:r>
          </w:p>
          <w:p w14:paraId="4DBD5B17" w14:textId="77777777" w:rsidR="002F29A8" w:rsidRPr="00490491" w:rsidRDefault="002F29A8" w:rsidP="002F29A8">
            <w:pPr>
              <w:pStyle w:val="a7"/>
              <w:numPr>
                <w:ilvl w:val="0"/>
                <w:numId w:val="50"/>
              </w:numPr>
              <w:ind w:firstLineChars="0"/>
            </w:pPr>
            <w:r>
              <w:t xml:space="preserve">Option2: </w:t>
            </w:r>
            <w:r w:rsidRPr="00490491">
              <w:rPr>
                <w:rFonts w:hint="eastAsia"/>
              </w:rPr>
              <w:t>R</w:t>
            </w:r>
            <w:r w:rsidRPr="00490491">
              <w:t>EFSENS (</w:t>
            </w:r>
            <w:r w:rsidRPr="00490491">
              <w:rPr>
                <w:rFonts w:hint="eastAsia"/>
              </w:rPr>
              <w:t>1</w:t>
            </w:r>
            <w:r w:rsidRPr="00490491">
              <w:t>Tx (26dBm) /2Rx) + ΔR</w:t>
            </w:r>
            <w:r w:rsidRPr="00647923">
              <w:rPr>
                <w:vertAlign w:val="subscript"/>
              </w:rPr>
              <w:t>1R</w:t>
            </w:r>
            <w:r w:rsidRPr="00490491">
              <w:t> : ΔR</w:t>
            </w:r>
            <w:r w:rsidRPr="00647923">
              <w:rPr>
                <w:vertAlign w:val="subscript"/>
              </w:rPr>
              <w:t>1R</w:t>
            </w:r>
            <w:r w:rsidRPr="00490491">
              <w:t xml:space="preserve"> </w:t>
            </w:r>
            <w:r>
              <w:t>may be</w:t>
            </w:r>
            <w:r w:rsidRPr="00490491">
              <w:t xml:space="preserve"> specified based on</w:t>
            </w:r>
            <w:r>
              <w:t xml:space="preserve"> the following conditions</w:t>
            </w:r>
          </w:p>
          <w:p w14:paraId="745C519A" w14:textId="77777777" w:rsidR="002F29A8" w:rsidRDefault="002F29A8" w:rsidP="002F29A8">
            <w:pPr>
              <w:pStyle w:val="a7"/>
              <w:numPr>
                <w:ilvl w:val="1"/>
                <w:numId w:val="51"/>
              </w:numPr>
              <w:ind w:firstLineChars="0"/>
            </w:pPr>
            <w:r w:rsidRPr="00490491">
              <w:t>ΔR</w:t>
            </w:r>
            <w:r w:rsidRPr="00561826">
              <w:rPr>
                <w:rFonts w:eastAsia="宋体"/>
                <w:vertAlign w:val="subscript"/>
              </w:rPr>
              <w:t xml:space="preserve"> </w:t>
            </w:r>
            <w:r w:rsidRPr="00561826">
              <w:rPr>
                <w:vertAlign w:val="subscript"/>
              </w:rPr>
              <w:t>1R</w:t>
            </w:r>
            <w:r>
              <w:t xml:space="preserve"> value may be considered from LTE </w:t>
            </w:r>
            <w:bookmarkStart w:id="3" w:name="_CRTable7_3_1E1A"/>
            <w:r>
              <w:t xml:space="preserve">TS 36.101 </w:t>
            </w:r>
            <w:r w:rsidRPr="001D386E">
              <w:t xml:space="preserve">Table </w:t>
            </w:r>
            <w:bookmarkEnd w:id="3"/>
            <w:r w:rsidRPr="001D386E">
              <w:t>7.3.1</w:t>
            </w:r>
            <w:r w:rsidRPr="001D386E">
              <w:rPr>
                <w:rFonts w:hint="eastAsia"/>
                <w:lang w:eastAsia="zh-CN"/>
              </w:rPr>
              <w:t>E</w:t>
            </w:r>
            <w:r w:rsidRPr="001D386E">
              <w:t>-1</w:t>
            </w:r>
            <w:r w:rsidRPr="001D386E">
              <w:rPr>
                <w:rFonts w:hint="eastAsia"/>
                <w:lang w:eastAsia="zh-CN"/>
              </w:rPr>
              <w:t>A</w:t>
            </w:r>
            <w:r>
              <w:t xml:space="preserve"> for bands and CBW which are already defined in TS 36.101 </w:t>
            </w:r>
            <w:r w:rsidRPr="001D386E">
              <w:t>Table 7.3.1</w:t>
            </w:r>
            <w:r w:rsidRPr="001D386E">
              <w:rPr>
                <w:rFonts w:hint="eastAsia"/>
                <w:lang w:eastAsia="zh-CN"/>
              </w:rPr>
              <w:t>E</w:t>
            </w:r>
            <w:r w:rsidRPr="001D386E">
              <w:t>-1</w:t>
            </w:r>
            <w:r w:rsidRPr="001D386E">
              <w:rPr>
                <w:rFonts w:hint="eastAsia"/>
                <w:lang w:eastAsia="zh-CN"/>
              </w:rPr>
              <w:t>A</w:t>
            </w:r>
            <w:r>
              <w:rPr>
                <w:lang w:eastAsia="zh-CN"/>
              </w:rPr>
              <w:t xml:space="preserve">. The </w:t>
            </w:r>
            <w:r w:rsidRPr="00B27740">
              <w:rPr>
                <w:lang w:eastAsia="zh-CN"/>
              </w:rPr>
              <w:t>ΔR</w:t>
            </w:r>
            <w:r w:rsidRPr="00B27740">
              <w:rPr>
                <w:vertAlign w:val="subscript"/>
                <w:lang w:eastAsia="zh-CN"/>
              </w:rPr>
              <w:t xml:space="preserve"> 1R</w:t>
            </w:r>
            <w:r w:rsidRPr="00B27740">
              <w:rPr>
                <w:lang w:eastAsia="zh-CN"/>
              </w:rPr>
              <w:t xml:space="preserve"> </w:t>
            </w:r>
            <w:r>
              <w:rPr>
                <w:lang w:eastAsia="zh-CN"/>
              </w:rPr>
              <w:t xml:space="preserve">value is calculated by comparing the REFSESN specified in </w:t>
            </w:r>
            <w:r w:rsidRPr="00B27740">
              <w:rPr>
                <w:lang w:eastAsia="zh-CN"/>
              </w:rPr>
              <w:t>TS 36.101 Table 7.3.1E-1A</w:t>
            </w:r>
            <w:r>
              <w:rPr>
                <w:lang w:eastAsia="zh-CN"/>
              </w:rPr>
              <w:t xml:space="preserve"> with </w:t>
            </w:r>
            <w:r w:rsidRPr="00B27740">
              <w:rPr>
                <w:lang w:eastAsia="zh-CN"/>
              </w:rPr>
              <w:t>TS 36.101 Table 7.3.1</w:t>
            </w:r>
            <w:r>
              <w:rPr>
                <w:lang w:eastAsia="zh-CN"/>
              </w:rPr>
              <w:t>.</w:t>
            </w:r>
          </w:p>
          <w:p w14:paraId="14B36F65" w14:textId="77777777" w:rsidR="002F29A8" w:rsidRDefault="002F29A8" w:rsidP="002F29A8">
            <w:pPr>
              <w:pStyle w:val="a7"/>
              <w:numPr>
                <w:ilvl w:val="1"/>
                <w:numId w:val="51"/>
              </w:numPr>
              <w:ind w:firstLineChars="0"/>
            </w:pPr>
            <w:r>
              <w:t xml:space="preserve">Companies are encouraged to bring measurement based evaluation for </w:t>
            </w:r>
            <w:r w:rsidRPr="00490491">
              <w:t>ΔR</w:t>
            </w:r>
            <w:r w:rsidRPr="00647923">
              <w:rPr>
                <w:vertAlign w:val="subscript"/>
              </w:rPr>
              <w:t>1R</w:t>
            </w:r>
            <w:r>
              <w:t xml:space="preserve"> for other bands and CBW which are not covered by LTE TS 36.101 </w:t>
            </w:r>
            <w:r w:rsidRPr="001D386E">
              <w:t>Table 7.3.1</w:t>
            </w:r>
            <w:r w:rsidRPr="001D386E">
              <w:rPr>
                <w:rFonts w:hint="eastAsia"/>
                <w:lang w:eastAsia="zh-CN"/>
              </w:rPr>
              <w:t>E</w:t>
            </w:r>
            <w:r w:rsidRPr="001D386E">
              <w:t>-1</w:t>
            </w:r>
            <w:r w:rsidRPr="001D386E">
              <w:rPr>
                <w:rFonts w:hint="eastAsia"/>
                <w:lang w:eastAsia="zh-CN"/>
              </w:rPr>
              <w:t>A</w:t>
            </w:r>
            <w:r>
              <w:t>.</w:t>
            </w:r>
          </w:p>
          <w:p w14:paraId="42C51F47" w14:textId="77777777" w:rsidR="002F29A8" w:rsidRPr="00723A6D" w:rsidRDefault="002F29A8" w:rsidP="002F29A8">
            <w:pPr>
              <w:pStyle w:val="a7"/>
              <w:numPr>
                <w:ilvl w:val="1"/>
                <w:numId w:val="51"/>
              </w:numPr>
              <w:ind w:firstLineChars="0"/>
            </w:pPr>
            <w:r>
              <w:t>The format in which the REFSENS is shown in the specs is TBD pending evaluations.</w:t>
            </w:r>
          </w:p>
          <w:p w14:paraId="1F4DB95E" w14:textId="77777777" w:rsidR="002F29A8" w:rsidRDefault="002F29A8" w:rsidP="002F29A8">
            <w:pPr>
              <w:rPr>
                <w:bCs/>
                <w:i/>
                <w:iCs/>
                <w:lang w:val="fr-FR"/>
              </w:rPr>
            </w:pPr>
            <w:r w:rsidRPr="00780E4A">
              <w:rPr>
                <w:rFonts w:eastAsia="等线" w:hint="eastAsia"/>
                <w:b/>
                <w:bCs/>
                <w:lang w:val="sv-SE" w:eastAsia="zh-CN"/>
              </w:rPr>
              <w:t>W</w:t>
            </w:r>
            <w:r w:rsidRPr="00780E4A">
              <w:rPr>
                <w:rFonts w:eastAsia="等线"/>
                <w:b/>
                <w:bCs/>
                <w:lang w:val="sv-SE" w:eastAsia="zh-CN"/>
              </w:rPr>
              <w:t>ay forward:</w:t>
            </w:r>
            <w:r>
              <w:rPr>
                <w:rFonts w:eastAsia="等线"/>
                <w:lang w:val="sv-SE" w:eastAsia="zh-CN"/>
              </w:rPr>
              <w:t xml:space="preserve"> It is encouraged for companies to provide analysis for option 1 and 2</w:t>
            </w:r>
            <w:r>
              <w:rPr>
                <w:bCs/>
                <w:i/>
                <w:iCs/>
                <w:lang w:val="fr-FR"/>
              </w:rPr>
              <w:t xml:space="preserve">. </w:t>
            </w:r>
          </w:p>
          <w:p w14:paraId="594E20CE" w14:textId="7771FCE7" w:rsidR="002F29A8" w:rsidRPr="00DE03AB" w:rsidRDefault="002F29A8" w:rsidP="00DE03AB">
            <w:pPr>
              <w:rPr>
                <w:rFonts w:eastAsia="等线"/>
                <w:lang w:val="sv-SE" w:eastAsia="zh-CN"/>
              </w:rPr>
            </w:pPr>
            <w:r>
              <w:rPr>
                <w:bCs/>
                <w:i/>
                <w:iCs/>
                <w:lang w:val="fr-FR"/>
              </w:rPr>
              <w:t>Note: Companies are encouraged to evaluate all specified PC2 FDD bands. The WI is intended to be completed in May meeting according to WI plan.</w:t>
            </w:r>
          </w:p>
        </w:tc>
      </w:tr>
    </w:tbl>
    <w:bookmarkEnd w:id="2"/>
    <w:p w14:paraId="190F5C25" w14:textId="6E28C793" w:rsidR="007B354B" w:rsidRDefault="006E2C7E" w:rsidP="00AB4279">
      <w:pPr>
        <w:snapToGrid w:val="0"/>
        <w:spacing w:after="120"/>
        <w:rPr>
          <w:bCs/>
          <w:sz w:val="20"/>
          <w:szCs w:val="15"/>
        </w:rPr>
      </w:pPr>
      <w:r>
        <w:rPr>
          <w:rFonts w:eastAsiaTheme="minorEastAsia"/>
          <w:sz w:val="21"/>
          <w:szCs w:val="21"/>
          <w:lang w:val="en-US" w:eastAsia="zh-CN"/>
        </w:rPr>
        <w:lastRenderedPageBreak/>
        <w:t xml:space="preserve">Another advantage is if </w:t>
      </w:r>
      <w:bookmarkStart w:id="4" w:name="OLE_LINK1"/>
      <w:r w:rsidRPr="009A2A18">
        <w:rPr>
          <w:rFonts w:eastAsiaTheme="minorEastAsia"/>
          <w:sz w:val="21"/>
          <w:szCs w:val="21"/>
          <w:lang w:val="en-US" w:eastAsia="zh-CN"/>
        </w:rPr>
        <w:t>ΔR</w:t>
      </w:r>
      <w:r w:rsidRPr="009A2A18">
        <w:rPr>
          <w:rFonts w:eastAsiaTheme="minorEastAsia"/>
          <w:sz w:val="21"/>
          <w:szCs w:val="21"/>
          <w:vertAlign w:val="subscript"/>
          <w:lang w:val="en-US" w:eastAsia="zh-CN"/>
        </w:rPr>
        <w:t>1R</w:t>
      </w:r>
      <w:r>
        <w:rPr>
          <w:rFonts w:eastAsiaTheme="minorEastAsia"/>
          <w:sz w:val="21"/>
          <w:szCs w:val="21"/>
          <w:vertAlign w:val="subscript"/>
          <w:lang w:val="en-US" w:eastAsia="zh-CN"/>
        </w:rPr>
        <w:t xml:space="preserve"> </w:t>
      </w:r>
      <w:bookmarkEnd w:id="4"/>
      <w:r>
        <w:rPr>
          <w:rFonts w:eastAsiaTheme="minorEastAsia"/>
          <w:sz w:val="21"/>
          <w:szCs w:val="21"/>
          <w:lang w:val="en-US" w:eastAsia="zh-CN"/>
        </w:rPr>
        <w:t>is defined in a band agnostic way, then all the bands for PC2 non-RedCap UE could be supported directly by PC2 1Rx RedCap UE without basket work to introduce band by band specially.</w:t>
      </w:r>
      <w:bookmarkStart w:id="5" w:name="_Hlk173858403"/>
      <w:r w:rsidR="007225DB">
        <w:rPr>
          <w:rFonts w:eastAsiaTheme="minorEastAsia" w:hint="eastAsia"/>
          <w:sz w:val="21"/>
          <w:szCs w:val="21"/>
          <w:lang w:val="en-US" w:eastAsia="zh-CN"/>
        </w:rPr>
        <w:t xml:space="preserve"> </w:t>
      </w:r>
      <w:r w:rsidR="007225DB">
        <w:rPr>
          <w:rFonts w:eastAsiaTheme="minorEastAsia" w:hint="eastAsia"/>
          <w:sz w:val="21"/>
          <w:szCs w:val="21"/>
          <w:lang w:eastAsia="zh-CN"/>
        </w:rPr>
        <w:t>T</w:t>
      </w:r>
      <w:r w:rsidR="007225DB">
        <w:rPr>
          <w:rFonts w:eastAsiaTheme="minorEastAsia"/>
          <w:sz w:val="21"/>
          <w:szCs w:val="21"/>
          <w:lang w:eastAsia="zh-CN"/>
        </w:rPr>
        <w:t xml:space="preserve">hus we give our simple consideration to make </w:t>
      </w:r>
      <w:r w:rsidR="007225DB" w:rsidRPr="009A2A18">
        <w:rPr>
          <w:rFonts w:eastAsiaTheme="minorEastAsia"/>
          <w:sz w:val="21"/>
          <w:szCs w:val="21"/>
          <w:lang w:val="en-US" w:eastAsia="zh-CN"/>
        </w:rPr>
        <w:t>ΔR</w:t>
      </w:r>
      <w:r w:rsidR="007225DB" w:rsidRPr="009A2A18">
        <w:rPr>
          <w:rFonts w:eastAsiaTheme="minorEastAsia"/>
          <w:sz w:val="21"/>
          <w:szCs w:val="21"/>
          <w:vertAlign w:val="subscript"/>
          <w:lang w:val="en-US" w:eastAsia="zh-CN"/>
        </w:rPr>
        <w:t>1R</w:t>
      </w:r>
      <w:r w:rsidR="007225DB">
        <w:rPr>
          <w:rFonts w:eastAsiaTheme="minorEastAsia"/>
          <w:sz w:val="21"/>
          <w:szCs w:val="21"/>
          <w:vertAlign w:val="subscript"/>
          <w:lang w:val="en-US" w:eastAsia="zh-CN"/>
        </w:rPr>
        <w:t xml:space="preserve"> </w:t>
      </w:r>
      <w:r w:rsidR="007225DB">
        <w:rPr>
          <w:rFonts w:eastAsiaTheme="minorEastAsia"/>
          <w:sz w:val="21"/>
          <w:szCs w:val="21"/>
          <w:lang w:val="en-US" w:eastAsia="zh-CN"/>
        </w:rPr>
        <w:t xml:space="preserve">apply to </w:t>
      </w:r>
      <w:r w:rsidR="0090698D">
        <w:rPr>
          <w:rFonts w:eastAsiaTheme="minorEastAsia"/>
          <w:sz w:val="21"/>
          <w:szCs w:val="21"/>
          <w:lang w:val="en-US" w:eastAsia="zh-CN"/>
        </w:rPr>
        <w:t>group of bands which are under some conditions. The parameter to distinguish REFSENS capability for bands for PC2</w:t>
      </w:r>
      <w:r w:rsidR="007B354B">
        <w:rPr>
          <w:rFonts w:eastAsiaTheme="minorEastAsia" w:hint="eastAsia"/>
          <w:sz w:val="21"/>
          <w:szCs w:val="21"/>
          <w:lang w:val="en-US" w:eastAsia="zh-CN"/>
        </w:rPr>
        <w:t>/</w:t>
      </w:r>
      <w:r w:rsidR="007B354B">
        <w:rPr>
          <w:rFonts w:eastAsiaTheme="minorEastAsia"/>
          <w:sz w:val="21"/>
          <w:szCs w:val="21"/>
          <w:lang w:val="en-US" w:eastAsia="zh-CN"/>
        </w:rPr>
        <w:t>PC3</w:t>
      </w:r>
      <w:r w:rsidR="0090698D">
        <w:rPr>
          <w:rFonts w:eastAsiaTheme="minorEastAsia"/>
          <w:sz w:val="21"/>
          <w:szCs w:val="21"/>
          <w:lang w:val="en-US" w:eastAsia="zh-CN"/>
        </w:rPr>
        <w:t xml:space="preserve"> non-RedCap UE is R</w:t>
      </w:r>
      <w:r w:rsidR="000B66B5">
        <w:rPr>
          <w:rFonts w:eastAsiaTheme="minorEastAsia"/>
          <w:sz w:val="21"/>
          <w:szCs w:val="21"/>
          <w:lang w:val="en-US" w:eastAsia="zh-CN"/>
        </w:rPr>
        <w:t>SD</w:t>
      </w:r>
      <w:r w:rsidR="00D93711">
        <w:rPr>
          <w:rFonts w:eastAsiaTheme="minorEastAsia"/>
          <w:sz w:val="21"/>
          <w:szCs w:val="21"/>
          <w:lang w:val="en-US" w:eastAsia="zh-CN"/>
        </w:rPr>
        <w:t xml:space="preserve"> or REFSENS</w:t>
      </w:r>
      <w:r w:rsidR="000B66B5">
        <w:rPr>
          <w:rFonts w:eastAsiaTheme="minorEastAsia"/>
          <w:sz w:val="21"/>
          <w:szCs w:val="21"/>
          <w:lang w:val="en-US" w:eastAsia="zh-CN"/>
        </w:rPr>
        <w:t xml:space="preserve">. </w:t>
      </w:r>
      <w:r w:rsidR="007B354B">
        <w:rPr>
          <w:rFonts w:eastAsiaTheme="minorEastAsia"/>
          <w:sz w:val="21"/>
          <w:szCs w:val="21"/>
          <w:lang w:val="en-US" w:eastAsia="zh-CN"/>
        </w:rPr>
        <w:t>In last meeting, the issue</w:t>
      </w:r>
      <w:r w:rsidR="009E436F">
        <w:rPr>
          <w:rFonts w:eastAsiaTheme="minorEastAsia"/>
          <w:sz w:val="21"/>
          <w:szCs w:val="21"/>
          <w:lang w:val="en-US" w:eastAsia="zh-CN"/>
        </w:rPr>
        <w:t xml:space="preserve"> that </w:t>
      </w:r>
      <w:bookmarkStart w:id="6" w:name="OLE_LINK3"/>
      <w:r w:rsidR="007B354B" w:rsidRPr="007B354B">
        <w:rPr>
          <w:sz w:val="20"/>
          <w:szCs w:val="15"/>
        </w:rPr>
        <w:t>ΔR</w:t>
      </w:r>
      <w:r w:rsidR="007B354B" w:rsidRPr="007B354B">
        <w:rPr>
          <w:bCs/>
          <w:sz w:val="20"/>
          <w:szCs w:val="15"/>
          <w:vertAlign w:val="subscript"/>
        </w:rPr>
        <w:t>1R</w:t>
      </w:r>
      <w:r w:rsidR="007B354B">
        <w:rPr>
          <w:bCs/>
          <w:sz w:val="20"/>
          <w:szCs w:val="15"/>
          <w:vertAlign w:val="subscript"/>
        </w:rPr>
        <w:t xml:space="preserve"> </w:t>
      </w:r>
      <w:bookmarkEnd w:id="6"/>
      <w:r w:rsidR="007B354B">
        <w:rPr>
          <w:bCs/>
          <w:sz w:val="20"/>
          <w:szCs w:val="15"/>
        </w:rPr>
        <w:t>may not be correctly specified even for PC3 RedCap UE</w:t>
      </w:r>
      <w:r w:rsidR="009E436F">
        <w:rPr>
          <w:bCs/>
          <w:sz w:val="20"/>
          <w:szCs w:val="15"/>
        </w:rPr>
        <w:t xml:space="preserve"> was  raised </w:t>
      </w:r>
      <w:r w:rsidR="007B354B">
        <w:rPr>
          <w:bCs/>
          <w:sz w:val="20"/>
          <w:szCs w:val="15"/>
        </w:rPr>
        <w:t xml:space="preserve">for some of bands </w:t>
      </w:r>
      <w:r w:rsidR="009E436F">
        <w:rPr>
          <w:bCs/>
          <w:sz w:val="20"/>
          <w:szCs w:val="15"/>
        </w:rPr>
        <w:t>which</w:t>
      </w:r>
      <w:r w:rsidR="007B354B">
        <w:rPr>
          <w:bCs/>
          <w:sz w:val="20"/>
          <w:szCs w:val="15"/>
        </w:rPr>
        <w:t xml:space="preserve"> the REFSENS requirement is worse due to </w:t>
      </w:r>
      <w:r w:rsidR="009E436F">
        <w:rPr>
          <w:bCs/>
          <w:sz w:val="20"/>
          <w:szCs w:val="15"/>
        </w:rPr>
        <w:t xml:space="preserve">proximity of UL and DL. At this time, the diversity Rx will dominate the REFSENS, if removing diversity antenna like RedCap UE, then the </w:t>
      </w:r>
      <w:r w:rsidR="009E436F" w:rsidRPr="007B354B">
        <w:rPr>
          <w:sz w:val="20"/>
          <w:szCs w:val="15"/>
        </w:rPr>
        <w:t>ΔR</w:t>
      </w:r>
      <w:r w:rsidR="009E436F" w:rsidRPr="007B354B">
        <w:rPr>
          <w:bCs/>
          <w:sz w:val="20"/>
          <w:szCs w:val="15"/>
          <w:vertAlign w:val="subscript"/>
        </w:rPr>
        <w:t>1R</w:t>
      </w:r>
      <w:r w:rsidR="009E436F">
        <w:rPr>
          <w:bCs/>
          <w:sz w:val="20"/>
          <w:szCs w:val="15"/>
          <w:vertAlign w:val="subscript"/>
        </w:rPr>
        <w:t xml:space="preserve"> </w:t>
      </w:r>
      <w:r w:rsidR="009E436F">
        <w:rPr>
          <w:bCs/>
          <w:sz w:val="20"/>
          <w:szCs w:val="15"/>
        </w:rPr>
        <w:t xml:space="preserve">may be larger than 3dB. </w:t>
      </w:r>
      <w:bookmarkStart w:id="7" w:name="OLE_LINK4"/>
      <w:r w:rsidR="009E436F">
        <w:rPr>
          <w:bCs/>
          <w:sz w:val="20"/>
          <w:szCs w:val="15"/>
        </w:rPr>
        <w:t xml:space="preserve">It is straightforward to limit the application condition for the </w:t>
      </w:r>
      <w:r w:rsidR="009E436F" w:rsidRPr="007B354B">
        <w:rPr>
          <w:sz w:val="20"/>
          <w:szCs w:val="15"/>
        </w:rPr>
        <w:t>ΔR</w:t>
      </w:r>
      <w:r w:rsidR="009E436F" w:rsidRPr="007B354B">
        <w:rPr>
          <w:bCs/>
          <w:sz w:val="20"/>
          <w:szCs w:val="15"/>
          <w:vertAlign w:val="subscript"/>
        </w:rPr>
        <w:t>1R</w:t>
      </w:r>
      <w:r w:rsidR="009E436F">
        <w:rPr>
          <w:bCs/>
          <w:sz w:val="20"/>
          <w:szCs w:val="15"/>
        </w:rPr>
        <w:t xml:space="preserve"> </w:t>
      </w:r>
      <w:r w:rsidR="009E436F" w:rsidRPr="009E436F">
        <w:rPr>
          <w:bCs/>
          <w:sz w:val="20"/>
          <w:szCs w:val="15"/>
        </w:rPr>
        <w:t>Table 7.3I.2-1</w:t>
      </w:r>
      <w:r w:rsidR="009E436F">
        <w:rPr>
          <w:bCs/>
          <w:sz w:val="20"/>
          <w:szCs w:val="15"/>
        </w:rPr>
        <w:t xml:space="preserve"> even for PC3 RedCap UE.</w:t>
      </w:r>
      <w:bookmarkEnd w:id="7"/>
    </w:p>
    <w:p w14:paraId="3C9A4D43" w14:textId="043E96EF" w:rsidR="009E436F" w:rsidRPr="009E436F" w:rsidRDefault="009E436F" w:rsidP="00AB4279">
      <w:pPr>
        <w:snapToGrid w:val="0"/>
        <w:spacing w:after="120"/>
        <w:rPr>
          <w:rFonts w:eastAsiaTheme="minorEastAsia"/>
          <w:sz w:val="21"/>
          <w:szCs w:val="21"/>
          <w:lang w:val="en-US" w:eastAsia="zh-CN"/>
        </w:rPr>
      </w:pPr>
      <w:r w:rsidRPr="00260612">
        <w:rPr>
          <w:rFonts w:eastAsiaTheme="minorEastAsia" w:hint="eastAsia"/>
          <w:b/>
          <w:bCs/>
          <w:sz w:val="21"/>
          <w:szCs w:val="21"/>
          <w:lang w:val="en-US" w:eastAsia="zh-CN"/>
        </w:rPr>
        <w:t>Observation</w:t>
      </w:r>
      <w:r w:rsidRPr="00260612">
        <w:rPr>
          <w:rFonts w:eastAsiaTheme="minorEastAsia"/>
          <w:b/>
          <w:bCs/>
          <w:sz w:val="21"/>
          <w:szCs w:val="21"/>
          <w:lang w:val="en-US" w:eastAsia="zh-CN"/>
        </w:rPr>
        <w:t xml:space="preserve"> 1:</w:t>
      </w:r>
      <w:r>
        <w:rPr>
          <w:rFonts w:eastAsiaTheme="minorEastAsia"/>
          <w:sz w:val="21"/>
          <w:szCs w:val="21"/>
          <w:lang w:val="en-US" w:eastAsia="zh-CN"/>
        </w:rPr>
        <w:t xml:space="preserve"> </w:t>
      </w:r>
      <w:r>
        <w:rPr>
          <w:bCs/>
          <w:sz w:val="20"/>
          <w:szCs w:val="15"/>
        </w:rPr>
        <w:t xml:space="preserve">It is reasonable to limit the application condition for the </w:t>
      </w:r>
      <w:r w:rsidRPr="007B354B">
        <w:rPr>
          <w:sz w:val="20"/>
          <w:szCs w:val="15"/>
        </w:rPr>
        <w:t>ΔR</w:t>
      </w:r>
      <w:r w:rsidRPr="007B354B">
        <w:rPr>
          <w:bCs/>
          <w:sz w:val="20"/>
          <w:szCs w:val="15"/>
          <w:vertAlign w:val="subscript"/>
        </w:rPr>
        <w:t>1R</w:t>
      </w:r>
      <w:r>
        <w:rPr>
          <w:bCs/>
          <w:sz w:val="20"/>
          <w:szCs w:val="15"/>
        </w:rPr>
        <w:t xml:space="preserve"> in </w:t>
      </w:r>
      <w:r w:rsidRPr="009E436F">
        <w:rPr>
          <w:bCs/>
          <w:sz w:val="20"/>
          <w:szCs w:val="15"/>
        </w:rPr>
        <w:t>Table 7.3I.2-1</w:t>
      </w:r>
      <w:r>
        <w:rPr>
          <w:bCs/>
          <w:sz w:val="20"/>
          <w:szCs w:val="15"/>
        </w:rPr>
        <w:t xml:space="preserve"> for PC3 RedCap UE.</w:t>
      </w:r>
    </w:p>
    <w:p w14:paraId="1DC1D061" w14:textId="0FE5D58B" w:rsidR="00260612" w:rsidRPr="009E436F" w:rsidRDefault="00260612" w:rsidP="00260612">
      <w:pPr>
        <w:snapToGrid w:val="0"/>
        <w:spacing w:after="120"/>
        <w:rPr>
          <w:rFonts w:eastAsiaTheme="minorEastAsia"/>
          <w:sz w:val="21"/>
          <w:szCs w:val="21"/>
          <w:lang w:val="en-US" w:eastAsia="zh-CN"/>
        </w:rPr>
      </w:pPr>
      <w:r w:rsidRPr="00260612">
        <w:rPr>
          <w:rFonts w:eastAsiaTheme="minorEastAsia" w:hint="eastAsia"/>
          <w:b/>
          <w:bCs/>
          <w:sz w:val="21"/>
          <w:szCs w:val="21"/>
          <w:lang w:val="en-US" w:eastAsia="zh-CN"/>
        </w:rPr>
        <w:t>Observation</w:t>
      </w:r>
      <w:r w:rsidRPr="00260612">
        <w:rPr>
          <w:rFonts w:eastAsiaTheme="minorEastAsia"/>
          <w:b/>
          <w:bCs/>
          <w:sz w:val="21"/>
          <w:szCs w:val="21"/>
          <w:lang w:val="en-US" w:eastAsia="zh-CN"/>
        </w:rPr>
        <w:t xml:space="preserve"> </w:t>
      </w:r>
      <w:r>
        <w:rPr>
          <w:rFonts w:eastAsiaTheme="minorEastAsia"/>
          <w:b/>
          <w:bCs/>
          <w:sz w:val="21"/>
          <w:szCs w:val="21"/>
          <w:lang w:val="en-US" w:eastAsia="zh-CN"/>
        </w:rPr>
        <w:t>2</w:t>
      </w:r>
      <w:r w:rsidRPr="00260612">
        <w:rPr>
          <w:rFonts w:eastAsiaTheme="minorEastAsia"/>
          <w:b/>
          <w:bCs/>
          <w:sz w:val="21"/>
          <w:szCs w:val="21"/>
          <w:lang w:val="en-US" w:eastAsia="zh-CN"/>
        </w:rPr>
        <w:t>:</w:t>
      </w:r>
      <w:r>
        <w:rPr>
          <w:rFonts w:eastAsiaTheme="minorEastAsia"/>
          <w:sz w:val="21"/>
          <w:szCs w:val="21"/>
          <w:lang w:val="en-US" w:eastAsia="zh-CN"/>
        </w:rPr>
        <w:t xml:space="preserve"> </w:t>
      </w:r>
      <w:r>
        <w:rPr>
          <w:bCs/>
          <w:sz w:val="20"/>
          <w:szCs w:val="15"/>
        </w:rPr>
        <w:t xml:space="preserve">The application condition for the </w:t>
      </w:r>
      <w:r w:rsidRPr="007B354B">
        <w:rPr>
          <w:sz w:val="20"/>
          <w:szCs w:val="15"/>
        </w:rPr>
        <w:t>ΔR</w:t>
      </w:r>
      <w:r w:rsidRPr="007B354B">
        <w:rPr>
          <w:bCs/>
          <w:sz w:val="20"/>
          <w:szCs w:val="15"/>
          <w:vertAlign w:val="subscript"/>
        </w:rPr>
        <w:t>1R</w:t>
      </w:r>
      <w:r>
        <w:rPr>
          <w:bCs/>
          <w:sz w:val="20"/>
          <w:szCs w:val="15"/>
        </w:rPr>
        <w:t xml:space="preserve"> in </w:t>
      </w:r>
      <w:r w:rsidRPr="009E436F">
        <w:rPr>
          <w:bCs/>
          <w:sz w:val="20"/>
          <w:szCs w:val="15"/>
        </w:rPr>
        <w:t>Table 7.3I.2-1</w:t>
      </w:r>
      <w:r>
        <w:rPr>
          <w:bCs/>
          <w:sz w:val="20"/>
          <w:szCs w:val="15"/>
        </w:rPr>
        <w:t xml:space="preserve"> for PC3 RedCap UE can be decided by REFSENS </w:t>
      </w:r>
      <w:r w:rsidRPr="00260612">
        <w:rPr>
          <w:bCs/>
          <w:sz w:val="20"/>
          <w:szCs w:val="15"/>
        </w:rPr>
        <w:t>two antenna port</w:t>
      </w:r>
      <w:r>
        <w:rPr>
          <w:bCs/>
          <w:sz w:val="20"/>
          <w:szCs w:val="15"/>
        </w:rPr>
        <w:t xml:space="preserve">. </w:t>
      </w:r>
    </w:p>
    <w:p w14:paraId="2360A733" w14:textId="293AADFD" w:rsidR="009E436F" w:rsidRPr="00260612" w:rsidRDefault="009E436F" w:rsidP="00AB4279">
      <w:pPr>
        <w:snapToGrid w:val="0"/>
        <w:spacing w:after="120"/>
        <w:rPr>
          <w:rFonts w:eastAsiaTheme="minorEastAsia"/>
          <w:bCs/>
          <w:sz w:val="20"/>
          <w:szCs w:val="15"/>
          <w:lang w:val="en-US" w:eastAsia="zh-CN"/>
        </w:rPr>
      </w:pPr>
    </w:p>
    <w:p w14:paraId="4C56320C" w14:textId="13714564" w:rsidR="000B66B5" w:rsidRDefault="00260612" w:rsidP="00AB4279">
      <w:pPr>
        <w:snapToGrid w:val="0"/>
        <w:spacing w:after="120"/>
        <w:rPr>
          <w:rFonts w:eastAsiaTheme="minorEastAsia"/>
          <w:sz w:val="21"/>
          <w:szCs w:val="21"/>
          <w:lang w:val="en-US" w:eastAsia="zh-CN"/>
        </w:rPr>
      </w:pPr>
      <w:r>
        <w:rPr>
          <w:rFonts w:eastAsiaTheme="minorEastAsia"/>
          <w:sz w:val="21"/>
          <w:szCs w:val="21"/>
          <w:lang w:val="en-US" w:eastAsia="zh-CN"/>
        </w:rPr>
        <w:t>Below, we will try to find the value for</w:t>
      </w:r>
      <w:r w:rsidRPr="00260612">
        <w:rPr>
          <w:bCs/>
          <w:sz w:val="20"/>
          <w:szCs w:val="15"/>
        </w:rPr>
        <w:t xml:space="preserve"> </w:t>
      </w:r>
      <w:r>
        <w:rPr>
          <w:bCs/>
          <w:sz w:val="20"/>
          <w:szCs w:val="15"/>
        </w:rPr>
        <w:t xml:space="preserve">REFSENS </w:t>
      </w:r>
      <w:r w:rsidRPr="00260612">
        <w:rPr>
          <w:bCs/>
          <w:sz w:val="20"/>
          <w:szCs w:val="15"/>
        </w:rPr>
        <w:t>two antenna port</w:t>
      </w:r>
      <w:r>
        <w:rPr>
          <w:bCs/>
          <w:sz w:val="20"/>
          <w:szCs w:val="15"/>
        </w:rPr>
        <w:t xml:space="preserve">, based on which, the </w:t>
      </w:r>
      <w:r w:rsidRPr="007B354B">
        <w:rPr>
          <w:sz w:val="20"/>
          <w:szCs w:val="15"/>
        </w:rPr>
        <w:t>ΔR</w:t>
      </w:r>
      <w:r w:rsidRPr="007B354B">
        <w:rPr>
          <w:bCs/>
          <w:sz w:val="20"/>
          <w:szCs w:val="15"/>
          <w:vertAlign w:val="subscript"/>
        </w:rPr>
        <w:t>1R</w:t>
      </w:r>
      <w:r>
        <w:rPr>
          <w:bCs/>
          <w:sz w:val="20"/>
          <w:szCs w:val="15"/>
        </w:rPr>
        <w:t xml:space="preserve"> in </w:t>
      </w:r>
      <w:r w:rsidRPr="009E436F">
        <w:rPr>
          <w:bCs/>
          <w:sz w:val="20"/>
          <w:szCs w:val="15"/>
        </w:rPr>
        <w:t>Table 7.3I.2-1</w:t>
      </w:r>
      <w:r>
        <w:rPr>
          <w:bCs/>
          <w:sz w:val="20"/>
          <w:szCs w:val="15"/>
        </w:rPr>
        <w:t xml:space="preserve"> is applicable.</w:t>
      </w:r>
      <w:r>
        <w:rPr>
          <w:rFonts w:eastAsiaTheme="minorEastAsia"/>
          <w:sz w:val="21"/>
          <w:szCs w:val="21"/>
          <w:lang w:val="en-US" w:eastAsia="zh-CN"/>
        </w:rPr>
        <w:t xml:space="preserve"> </w:t>
      </w:r>
      <w:r w:rsidR="000B66B5">
        <w:rPr>
          <w:rFonts w:eastAsiaTheme="minorEastAsia" w:hint="eastAsia"/>
          <w:sz w:val="21"/>
          <w:szCs w:val="21"/>
          <w:lang w:val="en-US" w:eastAsia="zh-CN"/>
        </w:rPr>
        <w:t>T</w:t>
      </w:r>
      <w:r w:rsidR="000B66B5">
        <w:rPr>
          <w:rFonts w:eastAsiaTheme="minorEastAsia"/>
          <w:sz w:val="21"/>
          <w:szCs w:val="21"/>
          <w:lang w:val="en-US" w:eastAsia="zh-CN"/>
        </w:rPr>
        <w:t xml:space="preserve">he </w:t>
      </w:r>
      <w:r w:rsidR="000B66B5" w:rsidRPr="009A2A18">
        <w:rPr>
          <w:rFonts w:eastAsiaTheme="minorEastAsia"/>
          <w:sz w:val="21"/>
          <w:szCs w:val="21"/>
          <w:lang w:val="en-US" w:eastAsia="zh-CN"/>
        </w:rPr>
        <w:t>ΔR</w:t>
      </w:r>
      <w:r w:rsidR="000B66B5" w:rsidRPr="009A2A18">
        <w:rPr>
          <w:rFonts w:eastAsiaTheme="minorEastAsia"/>
          <w:sz w:val="21"/>
          <w:szCs w:val="21"/>
          <w:vertAlign w:val="subscript"/>
          <w:lang w:val="en-US" w:eastAsia="zh-CN"/>
        </w:rPr>
        <w:t>1R</w:t>
      </w:r>
      <w:r w:rsidR="000B66B5">
        <w:rPr>
          <w:rFonts w:eastAsiaTheme="minorEastAsia"/>
          <w:sz w:val="21"/>
          <w:szCs w:val="21"/>
          <w:lang w:val="en-US" w:eastAsia="zh-CN"/>
        </w:rPr>
        <w:t xml:space="preserve"> for LTE </w:t>
      </w:r>
      <w:r w:rsidR="000B66B5" w:rsidRPr="000B66B5">
        <w:rPr>
          <w:rFonts w:eastAsiaTheme="minorEastAsia"/>
          <w:sz w:val="21"/>
          <w:szCs w:val="21"/>
          <w:lang w:val="en-US" w:eastAsia="zh-CN"/>
        </w:rPr>
        <w:t>UE category 0</w:t>
      </w:r>
      <w:r w:rsidR="000B66B5">
        <w:rPr>
          <w:rFonts w:eastAsiaTheme="minorEastAsia"/>
          <w:sz w:val="21"/>
          <w:szCs w:val="21"/>
          <w:lang w:val="en-US" w:eastAsia="zh-CN"/>
        </w:rPr>
        <w:t xml:space="preserve"> can be obtained </w:t>
      </w:r>
      <w:r w:rsidR="000B66B5" w:rsidRPr="000B66B5">
        <w:rPr>
          <w:rFonts w:eastAsiaTheme="minorEastAsia"/>
          <w:sz w:val="21"/>
          <w:szCs w:val="21"/>
          <w:lang w:val="en-US" w:eastAsia="zh-CN"/>
        </w:rPr>
        <w:t>by comparing the REFSESN</w:t>
      </w:r>
      <w:r w:rsidR="009E436F">
        <w:rPr>
          <w:rFonts w:eastAsiaTheme="minorEastAsia"/>
          <w:sz w:val="21"/>
          <w:szCs w:val="21"/>
          <w:lang w:val="en-US" w:eastAsia="zh-CN"/>
        </w:rPr>
        <w:t>S</w:t>
      </w:r>
      <w:r w:rsidR="000B66B5" w:rsidRPr="000B66B5">
        <w:rPr>
          <w:rFonts w:eastAsiaTheme="minorEastAsia"/>
          <w:sz w:val="21"/>
          <w:szCs w:val="21"/>
          <w:lang w:val="en-US" w:eastAsia="zh-CN"/>
        </w:rPr>
        <w:t xml:space="preserve"> specified in TS 36.101 Table 7.3.1E-1A with TS 36.101 Table 7.3.1</w:t>
      </w:r>
      <w:r w:rsidR="000B66B5">
        <w:rPr>
          <w:rFonts w:eastAsiaTheme="minorEastAsia"/>
          <w:sz w:val="21"/>
          <w:szCs w:val="21"/>
          <w:lang w:val="en-US" w:eastAsia="zh-CN"/>
        </w:rPr>
        <w:t xml:space="preserve">. </w:t>
      </w:r>
    </w:p>
    <w:p w14:paraId="3C634368" w14:textId="6DC27382" w:rsidR="000B66B5" w:rsidRPr="001E165C" w:rsidRDefault="001E165C" w:rsidP="001E165C">
      <w:pPr>
        <w:snapToGrid w:val="0"/>
        <w:spacing w:after="120"/>
        <w:jc w:val="center"/>
        <w:rPr>
          <w:rFonts w:eastAsiaTheme="minorEastAsia"/>
          <w:sz w:val="18"/>
          <w:szCs w:val="18"/>
          <w:lang w:val="en-US" w:eastAsia="zh-CN"/>
        </w:rPr>
      </w:pPr>
      <w:bookmarkStart w:id="8" w:name="_CRTable7_3_11"/>
      <w:r w:rsidRPr="001E165C">
        <w:rPr>
          <w:sz w:val="21"/>
          <w:szCs w:val="16"/>
        </w:rPr>
        <w:t xml:space="preserve">Table </w:t>
      </w:r>
      <w:bookmarkEnd w:id="8"/>
      <w:r w:rsidRPr="001E165C">
        <w:rPr>
          <w:sz w:val="21"/>
          <w:szCs w:val="16"/>
        </w:rPr>
        <w:t>7.3.1-1: Reference sensitivity QPSK P</w:t>
      </w:r>
      <w:r w:rsidRPr="001E165C">
        <w:rPr>
          <w:sz w:val="21"/>
          <w:szCs w:val="16"/>
          <w:vertAlign w:val="subscript"/>
        </w:rPr>
        <w:t>REFSENS</w:t>
      </w:r>
    </w:p>
    <w:tbl>
      <w:tblPr>
        <w:tblW w:w="8640" w:type="dxa"/>
        <w:tblInd w:w="118" w:type="dxa"/>
        <w:tblLook w:val="04A0" w:firstRow="1" w:lastRow="0" w:firstColumn="1" w:lastColumn="0" w:noHBand="0" w:noVBand="1"/>
      </w:tblPr>
      <w:tblGrid>
        <w:gridCol w:w="1080"/>
        <w:gridCol w:w="1080"/>
        <w:gridCol w:w="1080"/>
        <w:gridCol w:w="1080"/>
        <w:gridCol w:w="1080"/>
        <w:gridCol w:w="1080"/>
        <w:gridCol w:w="1080"/>
        <w:gridCol w:w="1080"/>
      </w:tblGrid>
      <w:tr w:rsidR="001E165C" w:rsidRPr="001E165C" w14:paraId="1B919938" w14:textId="77777777" w:rsidTr="001E165C">
        <w:trPr>
          <w:trHeight w:val="300"/>
        </w:trPr>
        <w:tc>
          <w:tcPr>
            <w:tcW w:w="86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B432FE8"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eastAsia="zh-CN"/>
              </w:rPr>
              <w:t>Channel bandwidth</w:t>
            </w:r>
          </w:p>
        </w:tc>
      </w:tr>
      <w:tr w:rsidR="001E165C" w:rsidRPr="001E165C" w14:paraId="2DAA40F0" w14:textId="77777777" w:rsidTr="001E165C">
        <w:trPr>
          <w:trHeight w:val="285"/>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BAFCD30" w14:textId="77777777" w:rsidR="001E165C" w:rsidRPr="001E165C" w:rsidRDefault="001E165C" w:rsidP="001E165C">
            <w:pPr>
              <w:jc w:val="center"/>
              <w:rPr>
                <w:rFonts w:ascii="Arial" w:eastAsia="等线" w:hAnsi="Arial" w:cs="Arial"/>
                <w:b/>
                <w:bCs/>
                <w:color w:val="000000"/>
                <w:sz w:val="18"/>
                <w:szCs w:val="18"/>
                <w:lang w:eastAsia="zh-CN"/>
              </w:rPr>
            </w:pPr>
            <w:r w:rsidRPr="001E165C">
              <w:rPr>
                <w:rFonts w:ascii="Arial" w:eastAsia="等线" w:hAnsi="Arial" w:cs="Arial"/>
                <w:b/>
                <w:bCs/>
                <w:color w:val="000000"/>
                <w:sz w:val="18"/>
                <w:szCs w:val="18"/>
                <w:lang w:eastAsia="zh-CN"/>
              </w:rPr>
              <w:t>E-UTRA Band</w:t>
            </w:r>
          </w:p>
        </w:tc>
        <w:tc>
          <w:tcPr>
            <w:tcW w:w="1080" w:type="dxa"/>
            <w:tcBorders>
              <w:top w:val="nil"/>
              <w:left w:val="nil"/>
              <w:bottom w:val="nil"/>
              <w:right w:val="single" w:sz="8" w:space="0" w:color="auto"/>
            </w:tcBorders>
            <w:shd w:val="clear" w:color="auto" w:fill="auto"/>
            <w:vAlign w:val="center"/>
            <w:hideMark/>
          </w:tcPr>
          <w:p w14:paraId="625F8E17" w14:textId="77777777" w:rsidR="001E165C" w:rsidRPr="001E165C" w:rsidRDefault="001E165C" w:rsidP="001E165C">
            <w:pPr>
              <w:jc w:val="center"/>
              <w:rPr>
                <w:rFonts w:ascii="Arial" w:eastAsia="等线" w:hAnsi="Arial" w:cs="Arial"/>
                <w:b/>
                <w:bCs/>
                <w:color w:val="000000"/>
                <w:sz w:val="18"/>
                <w:szCs w:val="18"/>
                <w:lang w:eastAsia="zh-CN"/>
              </w:rPr>
            </w:pPr>
            <w:r w:rsidRPr="001E165C">
              <w:rPr>
                <w:rFonts w:ascii="Arial" w:eastAsia="等线" w:hAnsi="Arial" w:cs="Arial"/>
                <w:b/>
                <w:bCs/>
                <w:color w:val="000000"/>
                <w:sz w:val="18"/>
                <w:szCs w:val="18"/>
                <w:lang w:eastAsia="zh-CN"/>
              </w:rPr>
              <w:t>1.4 MHz</w:t>
            </w:r>
          </w:p>
        </w:tc>
        <w:tc>
          <w:tcPr>
            <w:tcW w:w="1080" w:type="dxa"/>
            <w:tcBorders>
              <w:top w:val="nil"/>
              <w:left w:val="nil"/>
              <w:bottom w:val="nil"/>
              <w:right w:val="single" w:sz="8" w:space="0" w:color="auto"/>
            </w:tcBorders>
            <w:shd w:val="clear" w:color="auto" w:fill="auto"/>
            <w:vAlign w:val="center"/>
            <w:hideMark/>
          </w:tcPr>
          <w:p w14:paraId="06DAF887" w14:textId="77777777" w:rsidR="001E165C" w:rsidRPr="001E165C" w:rsidRDefault="001E165C" w:rsidP="001E165C">
            <w:pPr>
              <w:jc w:val="center"/>
              <w:rPr>
                <w:rFonts w:ascii="Arial" w:eastAsia="等线" w:hAnsi="Arial" w:cs="Arial"/>
                <w:b/>
                <w:bCs/>
                <w:color w:val="000000"/>
                <w:sz w:val="18"/>
                <w:szCs w:val="18"/>
                <w:lang w:eastAsia="zh-CN"/>
              </w:rPr>
            </w:pPr>
            <w:r w:rsidRPr="001E165C">
              <w:rPr>
                <w:rFonts w:ascii="Arial" w:eastAsia="等线" w:hAnsi="Arial" w:cs="Arial"/>
                <w:b/>
                <w:bCs/>
                <w:color w:val="000000"/>
                <w:sz w:val="18"/>
                <w:szCs w:val="18"/>
                <w:lang w:eastAsia="zh-CN"/>
              </w:rPr>
              <w:t>3 MHz</w:t>
            </w:r>
          </w:p>
        </w:tc>
        <w:tc>
          <w:tcPr>
            <w:tcW w:w="1080" w:type="dxa"/>
            <w:tcBorders>
              <w:top w:val="nil"/>
              <w:left w:val="nil"/>
              <w:bottom w:val="nil"/>
              <w:right w:val="single" w:sz="8" w:space="0" w:color="auto"/>
            </w:tcBorders>
            <w:shd w:val="clear" w:color="auto" w:fill="auto"/>
            <w:vAlign w:val="center"/>
            <w:hideMark/>
          </w:tcPr>
          <w:p w14:paraId="197D034D" w14:textId="77777777" w:rsidR="001E165C" w:rsidRPr="001E165C" w:rsidRDefault="001E165C" w:rsidP="001E165C">
            <w:pPr>
              <w:jc w:val="center"/>
              <w:rPr>
                <w:rFonts w:ascii="Arial" w:eastAsia="等线" w:hAnsi="Arial" w:cs="Arial"/>
                <w:b/>
                <w:bCs/>
                <w:color w:val="000000"/>
                <w:sz w:val="18"/>
                <w:szCs w:val="18"/>
                <w:lang w:eastAsia="zh-CN"/>
              </w:rPr>
            </w:pPr>
            <w:r w:rsidRPr="001E165C">
              <w:rPr>
                <w:rFonts w:ascii="Arial" w:eastAsia="等线" w:hAnsi="Arial" w:cs="Arial"/>
                <w:b/>
                <w:bCs/>
                <w:color w:val="000000"/>
                <w:sz w:val="18"/>
                <w:szCs w:val="18"/>
                <w:lang w:eastAsia="zh-CN"/>
              </w:rPr>
              <w:t>5 MHz</w:t>
            </w:r>
          </w:p>
        </w:tc>
        <w:tc>
          <w:tcPr>
            <w:tcW w:w="1080" w:type="dxa"/>
            <w:tcBorders>
              <w:top w:val="nil"/>
              <w:left w:val="nil"/>
              <w:bottom w:val="nil"/>
              <w:right w:val="single" w:sz="8" w:space="0" w:color="auto"/>
            </w:tcBorders>
            <w:shd w:val="clear" w:color="auto" w:fill="auto"/>
            <w:vAlign w:val="center"/>
            <w:hideMark/>
          </w:tcPr>
          <w:p w14:paraId="6BF4538C" w14:textId="77777777" w:rsidR="001E165C" w:rsidRPr="001E165C" w:rsidRDefault="001E165C" w:rsidP="001E165C">
            <w:pPr>
              <w:jc w:val="center"/>
              <w:rPr>
                <w:rFonts w:ascii="Arial" w:eastAsia="等线" w:hAnsi="Arial" w:cs="Arial"/>
                <w:b/>
                <w:bCs/>
                <w:color w:val="000000"/>
                <w:sz w:val="18"/>
                <w:szCs w:val="18"/>
                <w:lang w:eastAsia="zh-CN"/>
              </w:rPr>
            </w:pPr>
            <w:r w:rsidRPr="001E165C">
              <w:rPr>
                <w:rFonts w:ascii="Arial" w:eastAsia="等线" w:hAnsi="Arial" w:cs="Arial"/>
                <w:b/>
                <w:bCs/>
                <w:color w:val="000000"/>
                <w:sz w:val="18"/>
                <w:szCs w:val="18"/>
                <w:lang w:eastAsia="zh-CN"/>
              </w:rPr>
              <w:t>10 MHz</w:t>
            </w:r>
          </w:p>
        </w:tc>
        <w:tc>
          <w:tcPr>
            <w:tcW w:w="1080" w:type="dxa"/>
            <w:tcBorders>
              <w:top w:val="nil"/>
              <w:left w:val="nil"/>
              <w:bottom w:val="nil"/>
              <w:right w:val="single" w:sz="8" w:space="0" w:color="auto"/>
            </w:tcBorders>
            <w:shd w:val="clear" w:color="auto" w:fill="auto"/>
            <w:vAlign w:val="center"/>
            <w:hideMark/>
          </w:tcPr>
          <w:p w14:paraId="17361301" w14:textId="77777777" w:rsidR="001E165C" w:rsidRPr="001E165C" w:rsidRDefault="001E165C" w:rsidP="001E165C">
            <w:pPr>
              <w:jc w:val="center"/>
              <w:rPr>
                <w:rFonts w:ascii="Arial" w:eastAsia="等线" w:hAnsi="Arial" w:cs="Arial"/>
                <w:b/>
                <w:bCs/>
                <w:color w:val="000000"/>
                <w:sz w:val="18"/>
                <w:szCs w:val="18"/>
                <w:lang w:eastAsia="zh-CN"/>
              </w:rPr>
            </w:pPr>
            <w:r w:rsidRPr="001E165C">
              <w:rPr>
                <w:rFonts w:ascii="Arial" w:eastAsia="等线" w:hAnsi="Arial" w:cs="Arial"/>
                <w:b/>
                <w:bCs/>
                <w:color w:val="000000"/>
                <w:sz w:val="18"/>
                <w:szCs w:val="18"/>
                <w:lang w:eastAsia="zh-CN"/>
              </w:rPr>
              <w:t>15 MHz</w:t>
            </w:r>
          </w:p>
        </w:tc>
        <w:tc>
          <w:tcPr>
            <w:tcW w:w="1080" w:type="dxa"/>
            <w:tcBorders>
              <w:top w:val="nil"/>
              <w:left w:val="nil"/>
              <w:bottom w:val="nil"/>
              <w:right w:val="single" w:sz="8" w:space="0" w:color="auto"/>
            </w:tcBorders>
            <w:shd w:val="clear" w:color="auto" w:fill="auto"/>
            <w:vAlign w:val="center"/>
            <w:hideMark/>
          </w:tcPr>
          <w:p w14:paraId="1083CBA2"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eastAsia="zh-CN"/>
              </w:rPr>
              <w:t>20 MHz</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2B27B728"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eastAsia="zh-CN"/>
              </w:rPr>
              <w:t>Duplex Mode</w:t>
            </w:r>
          </w:p>
        </w:tc>
      </w:tr>
      <w:tr w:rsidR="001E165C" w:rsidRPr="001E165C" w14:paraId="64FCB56A" w14:textId="77777777" w:rsidTr="001E165C">
        <w:trPr>
          <w:trHeight w:val="300"/>
        </w:trPr>
        <w:tc>
          <w:tcPr>
            <w:tcW w:w="1080" w:type="dxa"/>
            <w:vMerge/>
            <w:tcBorders>
              <w:top w:val="nil"/>
              <w:left w:val="single" w:sz="8" w:space="0" w:color="auto"/>
              <w:bottom w:val="single" w:sz="8" w:space="0" w:color="000000"/>
              <w:right w:val="single" w:sz="8" w:space="0" w:color="auto"/>
            </w:tcBorders>
            <w:vAlign w:val="center"/>
            <w:hideMark/>
          </w:tcPr>
          <w:p w14:paraId="778A14FF" w14:textId="77777777" w:rsidR="001E165C" w:rsidRPr="001E165C" w:rsidRDefault="001E165C" w:rsidP="001E165C">
            <w:pPr>
              <w:rPr>
                <w:rFonts w:ascii="Arial" w:eastAsia="等线" w:hAnsi="Arial" w:cs="Arial"/>
                <w:b/>
                <w:bCs/>
                <w:color w:val="000000"/>
                <w:sz w:val="18"/>
                <w:szCs w:val="18"/>
                <w:lang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0754645D"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4B9B02A6"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14C1835B"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5ED906DC"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46E906BB"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74B4017B" w14:textId="77777777" w:rsidR="001E165C" w:rsidRPr="001E165C" w:rsidRDefault="001E165C" w:rsidP="001E165C">
            <w:pPr>
              <w:jc w:val="center"/>
              <w:rPr>
                <w:rFonts w:ascii="Arial" w:eastAsia="等线" w:hAnsi="Arial" w:cs="Arial"/>
                <w:b/>
                <w:bCs/>
                <w:color w:val="000000"/>
                <w:sz w:val="18"/>
                <w:szCs w:val="18"/>
                <w:lang w:val="en-US" w:eastAsia="zh-CN"/>
              </w:rPr>
            </w:pPr>
            <w:r w:rsidRPr="001E165C">
              <w:rPr>
                <w:rFonts w:ascii="Arial" w:eastAsia="等线" w:hAnsi="Arial" w:cs="Arial"/>
                <w:b/>
                <w:bCs/>
                <w:color w:val="000000"/>
                <w:sz w:val="18"/>
                <w:szCs w:val="18"/>
                <w:lang w:val="en-US" w:eastAsia="zh-CN"/>
              </w:rPr>
              <w:t>(dBm)</w:t>
            </w:r>
          </w:p>
        </w:tc>
        <w:tc>
          <w:tcPr>
            <w:tcW w:w="1080" w:type="dxa"/>
            <w:vMerge/>
            <w:tcBorders>
              <w:top w:val="nil"/>
              <w:left w:val="single" w:sz="8" w:space="0" w:color="auto"/>
              <w:bottom w:val="single" w:sz="8" w:space="0" w:color="000000"/>
              <w:right w:val="single" w:sz="8" w:space="0" w:color="auto"/>
            </w:tcBorders>
            <w:vAlign w:val="center"/>
            <w:hideMark/>
          </w:tcPr>
          <w:p w14:paraId="38A9CBD0" w14:textId="77777777" w:rsidR="001E165C" w:rsidRPr="001E165C" w:rsidRDefault="001E165C" w:rsidP="001E165C">
            <w:pPr>
              <w:rPr>
                <w:rFonts w:ascii="Arial" w:eastAsia="等线" w:hAnsi="Arial" w:cs="Arial"/>
                <w:b/>
                <w:bCs/>
                <w:color w:val="000000"/>
                <w:sz w:val="18"/>
                <w:szCs w:val="18"/>
                <w:lang w:val="en-US" w:eastAsia="zh-CN"/>
              </w:rPr>
            </w:pPr>
          </w:p>
        </w:tc>
      </w:tr>
      <w:tr w:rsidR="001E165C" w:rsidRPr="001E165C" w14:paraId="5A53B22B"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DC88EF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2221129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-102.7</w:t>
            </w:r>
          </w:p>
        </w:tc>
        <w:tc>
          <w:tcPr>
            <w:tcW w:w="1080" w:type="dxa"/>
            <w:tcBorders>
              <w:top w:val="nil"/>
              <w:left w:val="nil"/>
              <w:bottom w:val="single" w:sz="8" w:space="0" w:color="auto"/>
              <w:right w:val="single" w:sz="8" w:space="0" w:color="auto"/>
            </w:tcBorders>
            <w:shd w:val="clear" w:color="auto" w:fill="auto"/>
            <w:vAlign w:val="center"/>
            <w:hideMark/>
          </w:tcPr>
          <w:p w14:paraId="69D3E10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-99.7</w:t>
            </w:r>
          </w:p>
        </w:tc>
        <w:tc>
          <w:tcPr>
            <w:tcW w:w="1080" w:type="dxa"/>
            <w:tcBorders>
              <w:top w:val="nil"/>
              <w:left w:val="nil"/>
              <w:bottom w:val="single" w:sz="8" w:space="0" w:color="auto"/>
              <w:right w:val="single" w:sz="8" w:space="0" w:color="auto"/>
            </w:tcBorders>
            <w:shd w:val="clear" w:color="auto" w:fill="auto"/>
            <w:vAlign w:val="center"/>
            <w:hideMark/>
          </w:tcPr>
          <w:p w14:paraId="006DD5F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-98</w:t>
            </w:r>
          </w:p>
        </w:tc>
        <w:tc>
          <w:tcPr>
            <w:tcW w:w="1080" w:type="dxa"/>
            <w:tcBorders>
              <w:top w:val="nil"/>
              <w:left w:val="nil"/>
              <w:bottom w:val="single" w:sz="8" w:space="0" w:color="auto"/>
              <w:right w:val="single" w:sz="8" w:space="0" w:color="auto"/>
            </w:tcBorders>
            <w:shd w:val="clear" w:color="auto" w:fill="auto"/>
            <w:vAlign w:val="center"/>
            <w:hideMark/>
          </w:tcPr>
          <w:p w14:paraId="10B72713"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w:t>
            </w:r>
          </w:p>
        </w:tc>
        <w:tc>
          <w:tcPr>
            <w:tcW w:w="1080" w:type="dxa"/>
            <w:tcBorders>
              <w:top w:val="nil"/>
              <w:left w:val="nil"/>
              <w:bottom w:val="single" w:sz="8" w:space="0" w:color="auto"/>
              <w:right w:val="single" w:sz="8" w:space="0" w:color="auto"/>
            </w:tcBorders>
            <w:shd w:val="clear" w:color="auto" w:fill="auto"/>
            <w:vAlign w:val="center"/>
            <w:hideMark/>
          </w:tcPr>
          <w:p w14:paraId="5D62C76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-93.2</w:t>
            </w:r>
          </w:p>
        </w:tc>
        <w:tc>
          <w:tcPr>
            <w:tcW w:w="1080" w:type="dxa"/>
            <w:tcBorders>
              <w:top w:val="nil"/>
              <w:left w:val="nil"/>
              <w:bottom w:val="single" w:sz="8" w:space="0" w:color="auto"/>
              <w:right w:val="single" w:sz="8" w:space="0" w:color="auto"/>
            </w:tcBorders>
            <w:shd w:val="clear" w:color="auto" w:fill="auto"/>
            <w:vAlign w:val="center"/>
            <w:hideMark/>
          </w:tcPr>
          <w:p w14:paraId="318905B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-92</w:t>
            </w:r>
          </w:p>
        </w:tc>
        <w:tc>
          <w:tcPr>
            <w:tcW w:w="1080" w:type="dxa"/>
            <w:tcBorders>
              <w:top w:val="nil"/>
              <w:left w:val="nil"/>
              <w:bottom w:val="single" w:sz="8" w:space="0" w:color="auto"/>
              <w:right w:val="single" w:sz="8" w:space="0" w:color="auto"/>
            </w:tcBorders>
            <w:shd w:val="clear" w:color="auto" w:fill="auto"/>
            <w:vAlign w:val="center"/>
            <w:hideMark/>
          </w:tcPr>
          <w:p w14:paraId="70ADE5B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4D687330"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7E6F71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3</w:t>
            </w:r>
          </w:p>
        </w:tc>
        <w:tc>
          <w:tcPr>
            <w:tcW w:w="1080" w:type="dxa"/>
            <w:tcBorders>
              <w:top w:val="nil"/>
              <w:left w:val="nil"/>
              <w:bottom w:val="single" w:sz="8" w:space="0" w:color="auto"/>
              <w:right w:val="single" w:sz="8" w:space="0" w:color="auto"/>
            </w:tcBorders>
            <w:shd w:val="clear" w:color="auto" w:fill="auto"/>
            <w:vAlign w:val="center"/>
            <w:hideMark/>
          </w:tcPr>
          <w:p w14:paraId="52A2BEB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-101.7</w:t>
            </w:r>
          </w:p>
        </w:tc>
        <w:tc>
          <w:tcPr>
            <w:tcW w:w="1080" w:type="dxa"/>
            <w:tcBorders>
              <w:top w:val="nil"/>
              <w:left w:val="nil"/>
              <w:bottom w:val="single" w:sz="8" w:space="0" w:color="auto"/>
              <w:right w:val="single" w:sz="8" w:space="0" w:color="auto"/>
            </w:tcBorders>
            <w:shd w:val="clear" w:color="auto" w:fill="auto"/>
            <w:vAlign w:val="center"/>
            <w:hideMark/>
          </w:tcPr>
          <w:p w14:paraId="487A7E1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-98.7</w:t>
            </w:r>
          </w:p>
        </w:tc>
        <w:tc>
          <w:tcPr>
            <w:tcW w:w="1080" w:type="dxa"/>
            <w:tcBorders>
              <w:top w:val="nil"/>
              <w:left w:val="nil"/>
              <w:bottom w:val="single" w:sz="8" w:space="0" w:color="auto"/>
              <w:right w:val="single" w:sz="8" w:space="0" w:color="auto"/>
            </w:tcBorders>
            <w:shd w:val="clear" w:color="auto" w:fill="auto"/>
            <w:vAlign w:val="center"/>
            <w:hideMark/>
          </w:tcPr>
          <w:p w14:paraId="1E451B5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5C37B02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5F6D9B3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-92.2</w:t>
            </w:r>
          </w:p>
        </w:tc>
        <w:tc>
          <w:tcPr>
            <w:tcW w:w="1080" w:type="dxa"/>
            <w:tcBorders>
              <w:top w:val="nil"/>
              <w:left w:val="nil"/>
              <w:bottom w:val="single" w:sz="8" w:space="0" w:color="auto"/>
              <w:right w:val="single" w:sz="8" w:space="0" w:color="auto"/>
            </w:tcBorders>
            <w:shd w:val="clear" w:color="auto" w:fill="auto"/>
            <w:vAlign w:val="center"/>
            <w:hideMark/>
          </w:tcPr>
          <w:p w14:paraId="0AE7642C"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-91</w:t>
            </w:r>
          </w:p>
        </w:tc>
        <w:tc>
          <w:tcPr>
            <w:tcW w:w="1080" w:type="dxa"/>
            <w:tcBorders>
              <w:top w:val="nil"/>
              <w:left w:val="nil"/>
              <w:bottom w:val="single" w:sz="8" w:space="0" w:color="auto"/>
              <w:right w:val="single" w:sz="8" w:space="0" w:color="auto"/>
            </w:tcBorders>
            <w:shd w:val="clear" w:color="auto" w:fill="auto"/>
            <w:vAlign w:val="center"/>
            <w:hideMark/>
          </w:tcPr>
          <w:p w14:paraId="69FA966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3A96A27E"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B17D1C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1BD6A05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-104.7</w:t>
            </w:r>
          </w:p>
        </w:tc>
        <w:tc>
          <w:tcPr>
            <w:tcW w:w="1080" w:type="dxa"/>
            <w:tcBorders>
              <w:top w:val="nil"/>
              <w:left w:val="nil"/>
              <w:bottom w:val="single" w:sz="8" w:space="0" w:color="auto"/>
              <w:right w:val="single" w:sz="8" w:space="0" w:color="auto"/>
            </w:tcBorders>
            <w:shd w:val="clear" w:color="auto" w:fill="auto"/>
            <w:vAlign w:val="center"/>
            <w:hideMark/>
          </w:tcPr>
          <w:p w14:paraId="13D32C63"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-101.7</w:t>
            </w:r>
          </w:p>
        </w:tc>
        <w:tc>
          <w:tcPr>
            <w:tcW w:w="1080" w:type="dxa"/>
            <w:tcBorders>
              <w:top w:val="nil"/>
              <w:left w:val="nil"/>
              <w:bottom w:val="single" w:sz="8" w:space="0" w:color="auto"/>
              <w:right w:val="single" w:sz="8" w:space="0" w:color="auto"/>
            </w:tcBorders>
            <w:shd w:val="clear" w:color="auto" w:fill="auto"/>
            <w:vAlign w:val="center"/>
            <w:hideMark/>
          </w:tcPr>
          <w:p w14:paraId="275A9D92"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-100</w:t>
            </w:r>
          </w:p>
        </w:tc>
        <w:tc>
          <w:tcPr>
            <w:tcW w:w="1080" w:type="dxa"/>
            <w:tcBorders>
              <w:top w:val="nil"/>
              <w:left w:val="nil"/>
              <w:bottom w:val="single" w:sz="8" w:space="0" w:color="auto"/>
              <w:right w:val="single" w:sz="8" w:space="0" w:color="auto"/>
            </w:tcBorders>
            <w:shd w:val="clear" w:color="auto" w:fill="auto"/>
            <w:vAlign w:val="center"/>
            <w:hideMark/>
          </w:tcPr>
          <w:p w14:paraId="5A5BA81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094BF06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-95.2</w:t>
            </w:r>
          </w:p>
        </w:tc>
        <w:tc>
          <w:tcPr>
            <w:tcW w:w="1080" w:type="dxa"/>
            <w:tcBorders>
              <w:top w:val="nil"/>
              <w:left w:val="nil"/>
              <w:bottom w:val="single" w:sz="8" w:space="0" w:color="auto"/>
              <w:right w:val="single" w:sz="8" w:space="0" w:color="auto"/>
            </w:tcBorders>
            <w:shd w:val="clear" w:color="auto" w:fill="auto"/>
            <w:vAlign w:val="center"/>
            <w:hideMark/>
          </w:tcPr>
          <w:p w14:paraId="4152001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01DA9BC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7A983DA9"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FE4920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5</w:t>
            </w:r>
          </w:p>
        </w:tc>
        <w:tc>
          <w:tcPr>
            <w:tcW w:w="1080" w:type="dxa"/>
            <w:tcBorders>
              <w:top w:val="nil"/>
              <w:left w:val="nil"/>
              <w:bottom w:val="single" w:sz="8" w:space="0" w:color="auto"/>
              <w:right w:val="single" w:sz="8" w:space="0" w:color="auto"/>
            </w:tcBorders>
            <w:shd w:val="clear" w:color="auto" w:fill="auto"/>
            <w:vAlign w:val="center"/>
            <w:hideMark/>
          </w:tcPr>
          <w:p w14:paraId="3EC296E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-103.2</w:t>
            </w:r>
          </w:p>
        </w:tc>
        <w:tc>
          <w:tcPr>
            <w:tcW w:w="1080" w:type="dxa"/>
            <w:tcBorders>
              <w:top w:val="nil"/>
              <w:left w:val="nil"/>
              <w:bottom w:val="single" w:sz="8" w:space="0" w:color="auto"/>
              <w:right w:val="single" w:sz="8" w:space="0" w:color="auto"/>
            </w:tcBorders>
            <w:shd w:val="clear" w:color="auto" w:fill="auto"/>
            <w:vAlign w:val="center"/>
            <w:hideMark/>
          </w:tcPr>
          <w:p w14:paraId="4A248BB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-100.2</w:t>
            </w:r>
          </w:p>
        </w:tc>
        <w:tc>
          <w:tcPr>
            <w:tcW w:w="1080" w:type="dxa"/>
            <w:tcBorders>
              <w:top w:val="nil"/>
              <w:left w:val="nil"/>
              <w:bottom w:val="single" w:sz="8" w:space="0" w:color="auto"/>
              <w:right w:val="single" w:sz="8" w:space="0" w:color="auto"/>
            </w:tcBorders>
            <w:shd w:val="clear" w:color="auto" w:fill="auto"/>
            <w:vAlign w:val="center"/>
            <w:hideMark/>
          </w:tcPr>
          <w:p w14:paraId="770FC25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-98</w:t>
            </w:r>
          </w:p>
        </w:tc>
        <w:tc>
          <w:tcPr>
            <w:tcW w:w="1080" w:type="dxa"/>
            <w:tcBorders>
              <w:top w:val="nil"/>
              <w:left w:val="nil"/>
              <w:bottom w:val="single" w:sz="8" w:space="0" w:color="auto"/>
              <w:right w:val="single" w:sz="8" w:space="0" w:color="auto"/>
            </w:tcBorders>
            <w:shd w:val="clear" w:color="auto" w:fill="auto"/>
            <w:vAlign w:val="center"/>
            <w:hideMark/>
          </w:tcPr>
          <w:p w14:paraId="32A06B6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w:t>
            </w:r>
          </w:p>
        </w:tc>
        <w:tc>
          <w:tcPr>
            <w:tcW w:w="1080" w:type="dxa"/>
            <w:tcBorders>
              <w:top w:val="nil"/>
              <w:left w:val="nil"/>
              <w:bottom w:val="single" w:sz="8" w:space="0" w:color="auto"/>
              <w:right w:val="single" w:sz="8" w:space="0" w:color="auto"/>
            </w:tcBorders>
            <w:shd w:val="clear" w:color="auto" w:fill="auto"/>
            <w:vAlign w:val="center"/>
            <w:hideMark/>
          </w:tcPr>
          <w:p w14:paraId="4F457E4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80A292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78DABD2C"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07EFCBB2"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D82863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8</w:t>
            </w:r>
          </w:p>
        </w:tc>
        <w:tc>
          <w:tcPr>
            <w:tcW w:w="1080" w:type="dxa"/>
            <w:tcBorders>
              <w:top w:val="nil"/>
              <w:left w:val="nil"/>
              <w:bottom w:val="single" w:sz="8" w:space="0" w:color="auto"/>
              <w:right w:val="single" w:sz="8" w:space="0" w:color="auto"/>
            </w:tcBorders>
            <w:shd w:val="clear" w:color="auto" w:fill="auto"/>
            <w:vAlign w:val="center"/>
            <w:hideMark/>
          </w:tcPr>
          <w:p w14:paraId="5362BAC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-102.2</w:t>
            </w:r>
          </w:p>
        </w:tc>
        <w:tc>
          <w:tcPr>
            <w:tcW w:w="1080" w:type="dxa"/>
            <w:tcBorders>
              <w:top w:val="nil"/>
              <w:left w:val="nil"/>
              <w:bottom w:val="single" w:sz="8" w:space="0" w:color="auto"/>
              <w:right w:val="single" w:sz="8" w:space="0" w:color="auto"/>
            </w:tcBorders>
            <w:shd w:val="clear" w:color="auto" w:fill="auto"/>
            <w:vAlign w:val="center"/>
            <w:hideMark/>
          </w:tcPr>
          <w:p w14:paraId="0DA427E2"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-99.2</w:t>
            </w:r>
          </w:p>
        </w:tc>
        <w:tc>
          <w:tcPr>
            <w:tcW w:w="1080" w:type="dxa"/>
            <w:tcBorders>
              <w:top w:val="nil"/>
              <w:left w:val="nil"/>
              <w:bottom w:val="single" w:sz="8" w:space="0" w:color="auto"/>
              <w:right w:val="single" w:sz="8" w:space="0" w:color="auto"/>
            </w:tcBorders>
            <w:shd w:val="clear" w:color="auto" w:fill="auto"/>
            <w:vAlign w:val="center"/>
            <w:hideMark/>
          </w:tcPr>
          <w:p w14:paraId="6D9AB66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6355960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6569F60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D10D9D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7A82D34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7E742F55"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566260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13</w:t>
            </w:r>
          </w:p>
        </w:tc>
        <w:tc>
          <w:tcPr>
            <w:tcW w:w="1080" w:type="dxa"/>
            <w:tcBorders>
              <w:top w:val="nil"/>
              <w:left w:val="nil"/>
              <w:bottom w:val="single" w:sz="8" w:space="0" w:color="auto"/>
              <w:right w:val="single" w:sz="8" w:space="0" w:color="auto"/>
            </w:tcBorders>
            <w:shd w:val="clear" w:color="auto" w:fill="auto"/>
            <w:vAlign w:val="center"/>
            <w:hideMark/>
          </w:tcPr>
          <w:p w14:paraId="0ACDEDD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92AA21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398C9F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67889D0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7EFD44B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554260F8"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E8EFC5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3CF5A9CA"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A48CEE2"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20</w:t>
            </w:r>
          </w:p>
        </w:tc>
        <w:tc>
          <w:tcPr>
            <w:tcW w:w="1080" w:type="dxa"/>
            <w:tcBorders>
              <w:top w:val="nil"/>
              <w:left w:val="nil"/>
              <w:bottom w:val="single" w:sz="8" w:space="0" w:color="auto"/>
              <w:right w:val="single" w:sz="8" w:space="0" w:color="auto"/>
            </w:tcBorders>
            <w:shd w:val="clear" w:color="auto" w:fill="auto"/>
            <w:vAlign w:val="center"/>
            <w:hideMark/>
          </w:tcPr>
          <w:p w14:paraId="6635897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EE6AFFC"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2FA1AA8"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2FDD7D2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5F16AD4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-91.2</w:t>
            </w:r>
          </w:p>
        </w:tc>
        <w:tc>
          <w:tcPr>
            <w:tcW w:w="1080" w:type="dxa"/>
            <w:tcBorders>
              <w:top w:val="nil"/>
              <w:left w:val="nil"/>
              <w:bottom w:val="single" w:sz="8" w:space="0" w:color="auto"/>
              <w:right w:val="single" w:sz="8" w:space="0" w:color="auto"/>
            </w:tcBorders>
            <w:shd w:val="clear" w:color="auto" w:fill="auto"/>
            <w:vAlign w:val="center"/>
            <w:hideMark/>
          </w:tcPr>
          <w:p w14:paraId="0403AABC"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-90</w:t>
            </w:r>
          </w:p>
        </w:tc>
        <w:tc>
          <w:tcPr>
            <w:tcW w:w="1080" w:type="dxa"/>
            <w:tcBorders>
              <w:top w:val="nil"/>
              <w:left w:val="nil"/>
              <w:bottom w:val="single" w:sz="8" w:space="0" w:color="auto"/>
              <w:right w:val="single" w:sz="8" w:space="0" w:color="auto"/>
            </w:tcBorders>
            <w:shd w:val="clear" w:color="auto" w:fill="auto"/>
            <w:vAlign w:val="center"/>
            <w:hideMark/>
          </w:tcPr>
          <w:p w14:paraId="1BB9AB8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6FF8C9D8"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77F851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25</w:t>
            </w:r>
          </w:p>
        </w:tc>
        <w:tc>
          <w:tcPr>
            <w:tcW w:w="1080" w:type="dxa"/>
            <w:tcBorders>
              <w:top w:val="nil"/>
              <w:left w:val="nil"/>
              <w:bottom w:val="single" w:sz="8" w:space="0" w:color="auto"/>
              <w:right w:val="single" w:sz="8" w:space="0" w:color="auto"/>
            </w:tcBorders>
            <w:shd w:val="clear" w:color="auto" w:fill="auto"/>
            <w:vAlign w:val="center"/>
            <w:hideMark/>
          </w:tcPr>
          <w:p w14:paraId="3222CED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-101.2</w:t>
            </w:r>
          </w:p>
        </w:tc>
        <w:tc>
          <w:tcPr>
            <w:tcW w:w="1080" w:type="dxa"/>
            <w:tcBorders>
              <w:top w:val="nil"/>
              <w:left w:val="nil"/>
              <w:bottom w:val="single" w:sz="8" w:space="0" w:color="auto"/>
              <w:right w:val="single" w:sz="8" w:space="0" w:color="auto"/>
            </w:tcBorders>
            <w:shd w:val="clear" w:color="auto" w:fill="auto"/>
            <w:vAlign w:val="center"/>
            <w:hideMark/>
          </w:tcPr>
          <w:p w14:paraId="7C65695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-98.2</w:t>
            </w:r>
          </w:p>
        </w:tc>
        <w:tc>
          <w:tcPr>
            <w:tcW w:w="1080" w:type="dxa"/>
            <w:tcBorders>
              <w:top w:val="nil"/>
              <w:left w:val="nil"/>
              <w:bottom w:val="single" w:sz="8" w:space="0" w:color="auto"/>
              <w:right w:val="single" w:sz="8" w:space="0" w:color="auto"/>
            </w:tcBorders>
            <w:shd w:val="clear" w:color="auto" w:fill="auto"/>
            <w:vAlign w:val="center"/>
            <w:hideMark/>
          </w:tcPr>
          <w:p w14:paraId="59861B2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-96.5</w:t>
            </w:r>
          </w:p>
        </w:tc>
        <w:tc>
          <w:tcPr>
            <w:tcW w:w="1080" w:type="dxa"/>
            <w:tcBorders>
              <w:top w:val="nil"/>
              <w:left w:val="nil"/>
              <w:bottom w:val="single" w:sz="8" w:space="0" w:color="auto"/>
              <w:right w:val="single" w:sz="8" w:space="0" w:color="auto"/>
            </w:tcBorders>
            <w:shd w:val="clear" w:color="auto" w:fill="auto"/>
            <w:vAlign w:val="center"/>
            <w:hideMark/>
          </w:tcPr>
          <w:p w14:paraId="08CC48A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-93.5</w:t>
            </w:r>
          </w:p>
        </w:tc>
        <w:tc>
          <w:tcPr>
            <w:tcW w:w="1080" w:type="dxa"/>
            <w:tcBorders>
              <w:top w:val="nil"/>
              <w:left w:val="nil"/>
              <w:bottom w:val="single" w:sz="8" w:space="0" w:color="auto"/>
              <w:right w:val="single" w:sz="8" w:space="0" w:color="auto"/>
            </w:tcBorders>
            <w:shd w:val="clear" w:color="auto" w:fill="auto"/>
            <w:vAlign w:val="center"/>
            <w:hideMark/>
          </w:tcPr>
          <w:p w14:paraId="200C5CA7"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-91.7</w:t>
            </w:r>
          </w:p>
        </w:tc>
        <w:tc>
          <w:tcPr>
            <w:tcW w:w="1080" w:type="dxa"/>
            <w:tcBorders>
              <w:top w:val="nil"/>
              <w:left w:val="nil"/>
              <w:bottom w:val="single" w:sz="8" w:space="0" w:color="auto"/>
              <w:right w:val="single" w:sz="8" w:space="0" w:color="auto"/>
            </w:tcBorders>
            <w:shd w:val="clear" w:color="auto" w:fill="auto"/>
            <w:vAlign w:val="center"/>
            <w:hideMark/>
          </w:tcPr>
          <w:p w14:paraId="154B43A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-90.5</w:t>
            </w:r>
          </w:p>
        </w:tc>
        <w:tc>
          <w:tcPr>
            <w:tcW w:w="1080" w:type="dxa"/>
            <w:tcBorders>
              <w:top w:val="nil"/>
              <w:left w:val="nil"/>
              <w:bottom w:val="single" w:sz="8" w:space="0" w:color="auto"/>
              <w:right w:val="single" w:sz="8" w:space="0" w:color="auto"/>
            </w:tcBorders>
            <w:shd w:val="clear" w:color="auto" w:fill="auto"/>
            <w:vAlign w:val="center"/>
            <w:hideMark/>
          </w:tcPr>
          <w:p w14:paraId="036FB82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3BA4C6A0"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6645237"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26</w:t>
            </w:r>
          </w:p>
        </w:tc>
        <w:tc>
          <w:tcPr>
            <w:tcW w:w="1080" w:type="dxa"/>
            <w:tcBorders>
              <w:top w:val="nil"/>
              <w:left w:val="nil"/>
              <w:bottom w:val="single" w:sz="8" w:space="0" w:color="auto"/>
              <w:right w:val="single" w:sz="8" w:space="0" w:color="auto"/>
            </w:tcBorders>
            <w:shd w:val="clear" w:color="auto" w:fill="auto"/>
            <w:vAlign w:val="center"/>
            <w:hideMark/>
          </w:tcPr>
          <w:p w14:paraId="41B2CD7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-102.7</w:t>
            </w:r>
          </w:p>
        </w:tc>
        <w:tc>
          <w:tcPr>
            <w:tcW w:w="1080" w:type="dxa"/>
            <w:tcBorders>
              <w:top w:val="nil"/>
              <w:left w:val="nil"/>
              <w:bottom w:val="single" w:sz="8" w:space="0" w:color="auto"/>
              <w:right w:val="single" w:sz="8" w:space="0" w:color="auto"/>
            </w:tcBorders>
            <w:shd w:val="clear" w:color="auto" w:fill="auto"/>
            <w:vAlign w:val="center"/>
            <w:hideMark/>
          </w:tcPr>
          <w:p w14:paraId="03802A2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-99.7</w:t>
            </w:r>
          </w:p>
        </w:tc>
        <w:tc>
          <w:tcPr>
            <w:tcW w:w="1080" w:type="dxa"/>
            <w:tcBorders>
              <w:top w:val="nil"/>
              <w:left w:val="nil"/>
              <w:bottom w:val="single" w:sz="8" w:space="0" w:color="auto"/>
              <w:right w:val="single" w:sz="8" w:space="0" w:color="auto"/>
            </w:tcBorders>
            <w:shd w:val="clear" w:color="auto" w:fill="auto"/>
            <w:vAlign w:val="center"/>
            <w:hideMark/>
          </w:tcPr>
          <w:p w14:paraId="66DD627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-97.5</w:t>
            </w:r>
          </w:p>
        </w:tc>
        <w:tc>
          <w:tcPr>
            <w:tcW w:w="1080" w:type="dxa"/>
            <w:tcBorders>
              <w:top w:val="nil"/>
              <w:left w:val="nil"/>
              <w:bottom w:val="single" w:sz="8" w:space="0" w:color="auto"/>
              <w:right w:val="single" w:sz="8" w:space="0" w:color="auto"/>
            </w:tcBorders>
            <w:shd w:val="clear" w:color="auto" w:fill="auto"/>
            <w:vAlign w:val="center"/>
            <w:hideMark/>
          </w:tcPr>
          <w:p w14:paraId="56187D8C"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-94.5</w:t>
            </w:r>
          </w:p>
        </w:tc>
        <w:tc>
          <w:tcPr>
            <w:tcW w:w="1080" w:type="dxa"/>
            <w:tcBorders>
              <w:top w:val="nil"/>
              <w:left w:val="nil"/>
              <w:bottom w:val="single" w:sz="8" w:space="0" w:color="auto"/>
              <w:right w:val="single" w:sz="8" w:space="0" w:color="auto"/>
            </w:tcBorders>
            <w:shd w:val="clear" w:color="auto" w:fill="auto"/>
            <w:vAlign w:val="center"/>
            <w:hideMark/>
          </w:tcPr>
          <w:p w14:paraId="049554C8"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-92.7</w:t>
            </w:r>
          </w:p>
        </w:tc>
        <w:tc>
          <w:tcPr>
            <w:tcW w:w="1080" w:type="dxa"/>
            <w:tcBorders>
              <w:top w:val="nil"/>
              <w:left w:val="nil"/>
              <w:bottom w:val="single" w:sz="8" w:space="0" w:color="auto"/>
              <w:right w:val="single" w:sz="8" w:space="0" w:color="auto"/>
            </w:tcBorders>
            <w:shd w:val="clear" w:color="auto" w:fill="auto"/>
            <w:vAlign w:val="center"/>
            <w:hideMark/>
          </w:tcPr>
          <w:p w14:paraId="6FE225D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51D38BB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34F2801D"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B64B05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28</w:t>
            </w:r>
          </w:p>
        </w:tc>
        <w:tc>
          <w:tcPr>
            <w:tcW w:w="1080" w:type="dxa"/>
            <w:tcBorders>
              <w:top w:val="nil"/>
              <w:left w:val="nil"/>
              <w:bottom w:val="single" w:sz="8" w:space="0" w:color="auto"/>
              <w:right w:val="single" w:sz="8" w:space="0" w:color="auto"/>
            </w:tcBorders>
            <w:shd w:val="clear" w:color="auto" w:fill="auto"/>
            <w:vAlign w:val="center"/>
            <w:hideMark/>
          </w:tcPr>
          <w:p w14:paraId="20CE70CC"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AC9FE8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-100.2</w:t>
            </w:r>
          </w:p>
        </w:tc>
        <w:tc>
          <w:tcPr>
            <w:tcW w:w="1080" w:type="dxa"/>
            <w:tcBorders>
              <w:top w:val="nil"/>
              <w:left w:val="nil"/>
              <w:bottom w:val="single" w:sz="8" w:space="0" w:color="auto"/>
              <w:right w:val="single" w:sz="8" w:space="0" w:color="auto"/>
            </w:tcBorders>
            <w:shd w:val="clear" w:color="auto" w:fill="auto"/>
            <w:vAlign w:val="center"/>
            <w:hideMark/>
          </w:tcPr>
          <w:p w14:paraId="22355DC7"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-98.5</w:t>
            </w:r>
          </w:p>
        </w:tc>
        <w:tc>
          <w:tcPr>
            <w:tcW w:w="1080" w:type="dxa"/>
            <w:tcBorders>
              <w:top w:val="nil"/>
              <w:left w:val="nil"/>
              <w:bottom w:val="single" w:sz="8" w:space="0" w:color="auto"/>
              <w:right w:val="single" w:sz="8" w:space="0" w:color="auto"/>
            </w:tcBorders>
            <w:shd w:val="clear" w:color="auto" w:fill="auto"/>
            <w:vAlign w:val="center"/>
            <w:hideMark/>
          </w:tcPr>
          <w:p w14:paraId="745B56A2"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-95.5</w:t>
            </w:r>
          </w:p>
        </w:tc>
        <w:tc>
          <w:tcPr>
            <w:tcW w:w="1080" w:type="dxa"/>
            <w:tcBorders>
              <w:top w:val="nil"/>
              <w:left w:val="nil"/>
              <w:bottom w:val="single" w:sz="8" w:space="0" w:color="auto"/>
              <w:right w:val="single" w:sz="8" w:space="0" w:color="auto"/>
            </w:tcBorders>
            <w:shd w:val="clear" w:color="auto" w:fill="auto"/>
            <w:vAlign w:val="center"/>
            <w:hideMark/>
          </w:tcPr>
          <w:p w14:paraId="6F177FA8"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-93.7</w:t>
            </w:r>
          </w:p>
        </w:tc>
        <w:tc>
          <w:tcPr>
            <w:tcW w:w="1080" w:type="dxa"/>
            <w:tcBorders>
              <w:top w:val="nil"/>
              <w:left w:val="nil"/>
              <w:bottom w:val="single" w:sz="8" w:space="0" w:color="auto"/>
              <w:right w:val="single" w:sz="8" w:space="0" w:color="auto"/>
            </w:tcBorders>
            <w:shd w:val="clear" w:color="auto" w:fill="auto"/>
            <w:vAlign w:val="center"/>
            <w:hideMark/>
          </w:tcPr>
          <w:p w14:paraId="7389452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-91</w:t>
            </w:r>
          </w:p>
        </w:tc>
        <w:tc>
          <w:tcPr>
            <w:tcW w:w="1080" w:type="dxa"/>
            <w:tcBorders>
              <w:top w:val="nil"/>
              <w:left w:val="nil"/>
              <w:bottom w:val="single" w:sz="8" w:space="0" w:color="auto"/>
              <w:right w:val="single" w:sz="8" w:space="0" w:color="auto"/>
            </w:tcBorders>
            <w:shd w:val="clear" w:color="auto" w:fill="auto"/>
            <w:vAlign w:val="center"/>
            <w:hideMark/>
          </w:tcPr>
          <w:p w14:paraId="742E72AE"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r w:rsidR="001E165C" w:rsidRPr="001E165C" w14:paraId="33502859"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629989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39</w:t>
            </w:r>
          </w:p>
        </w:tc>
        <w:tc>
          <w:tcPr>
            <w:tcW w:w="1080" w:type="dxa"/>
            <w:tcBorders>
              <w:top w:val="nil"/>
              <w:left w:val="nil"/>
              <w:bottom w:val="single" w:sz="8" w:space="0" w:color="auto"/>
              <w:right w:val="single" w:sz="8" w:space="0" w:color="auto"/>
            </w:tcBorders>
            <w:shd w:val="clear" w:color="auto" w:fill="auto"/>
            <w:vAlign w:val="center"/>
            <w:hideMark/>
          </w:tcPr>
          <w:p w14:paraId="14D00B0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0C442FD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EECF1B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-100</w:t>
            </w:r>
          </w:p>
        </w:tc>
        <w:tc>
          <w:tcPr>
            <w:tcW w:w="1080" w:type="dxa"/>
            <w:tcBorders>
              <w:top w:val="nil"/>
              <w:left w:val="nil"/>
              <w:bottom w:val="single" w:sz="8" w:space="0" w:color="auto"/>
              <w:right w:val="single" w:sz="8" w:space="0" w:color="auto"/>
            </w:tcBorders>
            <w:shd w:val="clear" w:color="auto" w:fill="auto"/>
            <w:vAlign w:val="center"/>
            <w:hideMark/>
          </w:tcPr>
          <w:p w14:paraId="53022823"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14CAB01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-95.2</w:t>
            </w:r>
          </w:p>
        </w:tc>
        <w:tc>
          <w:tcPr>
            <w:tcW w:w="1080" w:type="dxa"/>
            <w:tcBorders>
              <w:top w:val="nil"/>
              <w:left w:val="nil"/>
              <w:bottom w:val="single" w:sz="8" w:space="0" w:color="auto"/>
              <w:right w:val="single" w:sz="8" w:space="0" w:color="auto"/>
            </w:tcBorders>
            <w:shd w:val="clear" w:color="auto" w:fill="auto"/>
            <w:vAlign w:val="center"/>
            <w:hideMark/>
          </w:tcPr>
          <w:p w14:paraId="3ED13E7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7C5711BB"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TDD</w:t>
            </w:r>
          </w:p>
        </w:tc>
      </w:tr>
      <w:tr w:rsidR="001E165C" w:rsidRPr="001E165C" w14:paraId="1F1EF61B"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528AA1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40</w:t>
            </w:r>
          </w:p>
        </w:tc>
        <w:tc>
          <w:tcPr>
            <w:tcW w:w="1080" w:type="dxa"/>
            <w:tcBorders>
              <w:top w:val="nil"/>
              <w:left w:val="nil"/>
              <w:bottom w:val="single" w:sz="8" w:space="0" w:color="auto"/>
              <w:right w:val="single" w:sz="8" w:space="0" w:color="auto"/>
            </w:tcBorders>
            <w:shd w:val="clear" w:color="auto" w:fill="auto"/>
            <w:vAlign w:val="center"/>
            <w:hideMark/>
          </w:tcPr>
          <w:p w14:paraId="2411D9F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5BE3DFF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50144E57"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-100</w:t>
            </w:r>
          </w:p>
        </w:tc>
        <w:tc>
          <w:tcPr>
            <w:tcW w:w="1080" w:type="dxa"/>
            <w:tcBorders>
              <w:top w:val="nil"/>
              <w:left w:val="nil"/>
              <w:bottom w:val="single" w:sz="8" w:space="0" w:color="auto"/>
              <w:right w:val="single" w:sz="8" w:space="0" w:color="auto"/>
            </w:tcBorders>
            <w:shd w:val="clear" w:color="auto" w:fill="auto"/>
            <w:vAlign w:val="center"/>
            <w:hideMark/>
          </w:tcPr>
          <w:p w14:paraId="360E354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-97</w:t>
            </w:r>
          </w:p>
        </w:tc>
        <w:tc>
          <w:tcPr>
            <w:tcW w:w="1080" w:type="dxa"/>
            <w:tcBorders>
              <w:top w:val="nil"/>
              <w:left w:val="nil"/>
              <w:bottom w:val="single" w:sz="8" w:space="0" w:color="auto"/>
              <w:right w:val="single" w:sz="8" w:space="0" w:color="auto"/>
            </w:tcBorders>
            <w:shd w:val="clear" w:color="auto" w:fill="auto"/>
            <w:vAlign w:val="center"/>
            <w:hideMark/>
          </w:tcPr>
          <w:p w14:paraId="5A1DA35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-95.2</w:t>
            </w:r>
          </w:p>
        </w:tc>
        <w:tc>
          <w:tcPr>
            <w:tcW w:w="1080" w:type="dxa"/>
            <w:tcBorders>
              <w:top w:val="nil"/>
              <w:left w:val="nil"/>
              <w:bottom w:val="single" w:sz="8" w:space="0" w:color="auto"/>
              <w:right w:val="single" w:sz="8" w:space="0" w:color="auto"/>
            </w:tcBorders>
            <w:shd w:val="clear" w:color="auto" w:fill="auto"/>
            <w:vAlign w:val="center"/>
            <w:hideMark/>
          </w:tcPr>
          <w:p w14:paraId="3E0FA78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w:t>
            </w:r>
          </w:p>
        </w:tc>
        <w:tc>
          <w:tcPr>
            <w:tcW w:w="1080" w:type="dxa"/>
            <w:tcBorders>
              <w:top w:val="nil"/>
              <w:left w:val="nil"/>
              <w:bottom w:val="single" w:sz="8" w:space="0" w:color="auto"/>
              <w:right w:val="single" w:sz="8" w:space="0" w:color="auto"/>
            </w:tcBorders>
            <w:shd w:val="clear" w:color="auto" w:fill="auto"/>
            <w:vAlign w:val="center"/>
            <w:hideMark/>
          </w:tcPr>
          <w:p w14:paraId="7999DF78"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TDD</w:t>
            </w:r>
          </w:p>
        </w:tc>
      </w:tr>
      <w:tr w:rsidR="001E165C" w:rsidRPr="001E165C" w14:paraId="6AB45949"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1D438DD"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41</w:t>
            </w:r>
          </w:p>
        </w:tc>
        <w:tc>
          <w:tcPr>
            <w:tcW w:w="1080" w:type="dxa"/>
            <w:tcBorders>
              <w:top w:val="nil"/>
              <w:left w:val="nil"/>
              <w:bottom w:val="single" w:sz="8" w:space="0" w:color="auto"/>
              <w:right w:val="single" w:sz="8" w:space="0" w:color="auto"/>
            </w:tcBorders>
            <w:shd w:val="clear" w:color="auto" w:fill="auto"/>
            <w:vAlign w:val="center"/>
            <w:hideMark/>
          </w:tcPr>
          <w:p w14:paraId="45961B9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AADA7F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31137A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-98</w:t>
            </w:r>
          </w:p>
        </w:tc>
        <w:tc>
          <w:tcPr>
            <w:tcW w:w="1080" w:type="dxa"/>
            <w:tcBorders>
              <w:top w:val="nil"/>
              <w:left w:val="nil"/>
              <w:bottom w:val="single" w:sz="8" w:space="0" w:color="auto"/>
              <w:right w:val="single" w:sz="8" w:space="0" w:color="auto"/>
            </w:tcBorders>
            <w:shd w:val="clear" w:color="auto" w:fill="auto"/>
            <w:vAlign w:val="center"/>
            <w:hideMark/>
          </w:tcPr>
          <w:p w14:paraId="2690A662"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-95</w:t>
            </w:r>
          </w:p>
        </w:tc>
        <w:tc>
          <w:tcPr>
            <w:tcW w:w="1080" w:type="dxa"/>
            <w:tcBorders>
              <w:top w:val="nil"/>
              <w:left w:val="nil"/>
              <w:bottom w:val="single" w:sz="8" w:space="0" w:color="auto"/>
              <w:right w:val="single" w:sz="8" w:space="0" w:color="auto"/>
            </w:tcBorders>
            <w:shd w:val="clear" w:color="auto" w:fill="auto"/>
            <w:vAlign w:val="center"/>
            <w:hideMark/>
          </w:tcPr>
          <w:p w14:paraId="164BD798"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-93.2</w:t>
            </w:r>
          </w:p>
        </w:tc>
        <w:tc>
          <w:tcPr>
            <w:tcW w:w="1080" w:type="dxa"/>
            <w:tcBorders>
              <w:top w:val="nil"/>
              <w:left w:val="nil"/>
              <w:bottom w:val="single" w:sz="8" w:space="0" w:color="auto"/>
              <w:right w:val="single" w:sz="8" w:space="0" w:color="auto"/>
            </w:tcBorders>
            <w:shd w:val="clear" w:color="auto" w:fill="auto"/>
            <w:vAlign w:val="center"/>
            <w:hideMark/>
          </w:tcPr>
          <w:p w14:paraId="769A9B76"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-92</w:t>
            </w:r>
          </w:p>
        </w:tc>
        <w:tc>
          <w:tcPr>
            <w:tcW w:w="1080" w:type="dxa"/>
            <w:tcBorders>
              <w:top w:val="nil"/>
              <w:left w:val="nil"/>
              <w:bottom w:val="single" w:sz="8" w:space="0" w:color="auto"/>
              <w:right w:val="single" w:sz="8" w:space="0" w:color="auto"/>
            </w:tcBorders>
            <w:shd w:val="clear" w:color="auto" w:fill="auto"/>
            <w:vAlign w:val="center"/>
            <w:hideMark/>
          </w:tcPr>
          <w:p w14:paraId="244AF561"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TDD</w:t>
            </w:r>
          </w:p>
        </w:tc>
      </w:tr>
      <w:tr w:rsidR="001E165C" w:rsidRPr="001E165C" w14:paraId="6B05B921" w14:textId="77777777" w:rsidTr="001E165C">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3D2379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111</w:t>
            </w:r>
          </w:p>
        </w:tc>
        <w:tc>
          <w:tcPr>
            <w:tcW w:w="1080" w:type="dxa"/>
            <w:tcBorders>
              <w:top w:val="nil"/>
              <w:left w:val="nil"/>
              <w:bottom w:val="single" w:sz="8" w:space="0" w:color="auto"/>
              <w:right w:val="single" w:sz="8" w:space="0" w:color="auto"/>
            </w:tcBorders>
            <w:shd w:val="clear" w:color="auto" w:fill="auto"/>
            <w:vAlign w:val="center"/>
            <w:hideMark/>
          </w:tcPr>
          <w:p w14:paraId="52AA5452"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-99</w:t>
            </w:r>
          </w:p>
        </w:tc>
        <w:tc>
          <w:tcPr>
            <w:tcW w:w="1080" w:type="dxa"/>
            <w:tcBorders>
              <w:top w:val="nil"/>
              <w:left w:val="nil"/>
              <w:bottom w:val="single" w:sz="8" w:space="0" w:color="auto"/>
              <w:right w:val="single" w:sz="8" w:space="0" w:color="auto"/>
            </w:tcBorders>
            <w:shd w:val="clear" w:color="auto" w:fill="auto"/>
            <w:vAlign w:val="center"/>
            <w:hideMark/>
          </w:tcPr>
          <w:p w14:paraId="6B71B2CA"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-96.2</w:t>
            </w:r>
          </w:p>
        </w:tc>
        <w:tc>
          <w:tcPr>
            <w:tcW w:w="1080" w:type="dxa"/>
            <w:tcBorders>
              <w:top w:val="nil"/>
              <w:left w:val="nil"/>
              <w:bottom w:val="single" w:sz="8" w:space="0" w:color="auto"/>
              <w:right w:val="single" w:sz="8" w:space="0" w:color="auto"/>
            </w:tcBorders>
            <w:shd w:val="clear" w:color="auto" w:fill="auto"/>
            <w:vAlign w:val="center"/>
            <w:hideMark/>
          </w:tcPr>
          <w:p w14:paraId="03E4E9E5"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-94.3</w:t>
            </w:r>
          </w:p>
        </w:tc>
        <w:tc>
          <w:tcPr>
            <w:tcW w:w="1080" w:type="dxa"/>
            <w:tcBorders>
              <w:top w:val="nil"/>
              <w:left w:val="nil"/>
              <w:bottom w:val="single" w:sz="8" w:space="0" w:color="auto"/>
              <w:right w:val="single" w:sz="8" w:space="0" w:color="auto"/>
            </w:tcBorders>
            <w:shd w:val="clear" w:color="auto" w:fill="auto"/>
            <w:vAlign w:val="center"/>
            <w:hideMark/>
          </w:tcPr>
          <w:p w14:paraId="7FEDA910"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-80.6</w:t>
            </w:r>
          </w:p>
        </w:tc>
        <w:tc>
          <w:tcPr>
            <w:tcW w:w="1080" w:type="dxa"/>
            <w:tcBorders>
              <w:top w:val="nil"/>
              <w:left w:val="nil"/>
              <w:bottom w:val="single" w:sz="8" w:space="0" w:color="auto"/>
              <w:right w:val="single" w:sz="8" w:space="0" w:color="auto"/>
            </w:tcBorders>
            <w:shd w:val="clear" w:color="auto" w:fill="auto"/>
            <w:vAlign w:val="center"/>
            <w:hideMark/>
          </w:tcPr>
          <w:p w14:paraId="5B7BD7D4"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913B429"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3F3620F" w14:textId="77777777" w:rsidR="001E165C" w:rsidRPr="001E165C" w:rsidRDefault="001E165C" w:rsidP="001E165C">
            <w:pPr>
              <w:jc w:val="center"/>
              <w:rPr>
                <w:rFonts w:ascii="Arial" w:eastAsia="等线" w:hAnsi="Arial" w:cs="Arial"/>
                <w:color w:val="000000"/>
                <w:sz w:val="18"/>
                <w:szCs w:val="18"/>
                <w:lang w:val="en-US" w:eastAsia="zh-CN"/>
              </w:rPr>
            </w:pPr>
            <w:r w:rsidRPr="001E165C">
              <w:rPr>
                <w:rFonts w:ascii="Arial" w:eastAsia="等线" w:hAnsi="Arial" w:cs="Arial"/>
                <w:color w:val="000000"/>
                <w:sz w:val="18"/>
                <w:szCs w:val="18"/>
                <w:lang w:eastAsia="zh-CN"/>
              </w:rPr>
              <w:t>FDD</w:t>
            </w:r>
          </w:p>
        </w:tc>
      </w:tr>
    </w:tbl>
    <w:p w14:paraId="5BB6F6E6" w14:textId="77777777" w:rsidR="001E165C" w:rsidRDefault="001E165C" w:rsidP="00AB4279">
      <w:pPr>
        <w:snapToGrid w:val="0"/>
        <w:spacing w:after="120"/>
        <w:rPr>
          <w:rFonts w:eastAsiaTheme="minorEastAsia"/>
          <w:sz w:val="21"/>
          <w:szCs w:val="21"/>
          <w:lang w:val="en-US" w:eastAsia="zh-CN"/>
        </w:rPr>
      </w:pPr>
    </w:p>
    <w:p w14:paraId="38339378" w14:textId="14E595A6" w:rsidR="001E165C" w:rsidRPr="000B66B5" w:rsidRDefault="001E165C" w:rsidP="001E165C">
      <w:pPr>
        <w:snapToGrid w:val="0"/>
        <w:spacing w:after="120"/>
        <w:jc w:val="center"/>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 xml:space="preserve">able 1: </w:t>
      </w:r>
      <w:r w:rsidRPr="009A2A18">
        <w:rPr>
          <w:rFonts w:eastAsiaTheme="minorEastAsia"/>
          <w:sz w:val="21"/>
          <w:szCs w:val="21"/>
          <w:lang w:val="en-US" w:eastAsia="zh-CN"/>
        </w:rPr>
        <w:t>ΔR</w:t>
      </w:r>
      <w:r w:rsidRPr="009A2A18">
        <w:rPr>
          <w:rFonts w:eastAsiaTheme="minorEastAsia"/>
          <w:sz w:val="21"/>
          <w:szCs w:val="21"/>
          <w:vertAlign w:val="subscript"/>
          <w:lang w:val="en-US" w:eastAsia="zh-CN"/>
        </w:rPr>
        <w:t>1R</w:t>
      </w:r>
      <w:r>
        <w:rPr>
          <w:rFonts w:eastAsiaTheme="minorEastAsia"/>
          <w:sz w:val="21"/>
          <w:szCs w:val="21"/>
          <w:lang w:val="en-US" w:eastAsia="zh-CN"/>
        </w:rPr>
        <w:t xml:space="preserve"> for LTE </w:t>
      </w:r>
      <w:r w:rsidRPr="000B66B5">
        <w:rPr>
          <w:rFonts w:eastAsiaTheme="minorEastAsia"/>
          <w:sz w:val="21"/>
          <w:szCs w:val="21"/>
          <w:lang w:val="en-US" w:eastAsia="zh-CN"/>
        </w:rPr>
        <w:t>UE category 0</w:t>
      </w:r>
    </w:p>
    <w:tbl>
      <w:tblPr>
        <w:tblW w:w="8609" w:type="dxa"/>
        <w:tblInd w:w="118" w:type="dxa"/>
        <w:tblLook w:val="04A0" w:firstRow="1" w:lastRow="0" w:firstColumn="1" w:lastColumn="0" w:noHBand="0" w:noVBand="1"/>
      </w:tblPr>
      <w:tblGrid>
        <w:gridCol w:w="1076"/>
        <w:gridCol w:w="1076"/>
        <w:gridCol w:w="1076"/>
        <w:gridCol w:w="1076"/>
        <w:gridCol w:w="1076"/>
        <w:gridCol w:w="1076"/>
        <w:gridCol w:w="1076"/>
        <w:gridCol w:w="1077"/>
      </w:tblGrid>
      <w:tr w:rsidR="003C5A4D" w:rsidRPr="003C5A4D" w14:paraId="67B4E183" w14:textId="77777777" w:rsidTr="003C5A4D">
        <w:trPr>
          <w:trHeight w:val="241"/>
        </w:trPr>
        <w:tc>
          <w:tcPr>
            <w:tcW w:w="8609"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390DE82"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eastAsia="zh-CN"/>
              </w:rPr>
              <w:t>Channel bandwidth</w:t>
            </w:r>
          </w:p>
        </w:tc>
      </w:tr>
      <w:tr w:rsidR="003C5A4D" w:rsidRPr="003C5A4D" w14:paraId="6242A602" w14:textId="77777777" w:rsidTr="001E165C">
        <w:trPr>
          <w:trHeight w:val="229"/>
        </w:trPr>
        <w:tc>
          <w:tcPr>
            <w:tcW w:w="1076" w:type="dxa"/>
            <w:vMerge w:val="restart"/>
            <w:tcBorders>
              <w:top w:val="nil"/>
              <w:left w:val="single" w:sz="8" w:space="0" w:color="auto"/>
              <w:bottom w:val="single" w:sz="8" w:space="0" w:color="000000"/>
              <w:right w:val="single" w:sz="8" w:space="0" w:color="auto"/>
            </w:tcBorders>
            <w:shd w:val="clear" w:color="auto" w:fill="auto"/>
            <w:vAlign w:val="center"/>
            <w:hideMark/>
          </w:tcPr>
          <w:p w14:paraId="213C58F3"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E-UTRA Band</w:t>
            </w:r>
          </w:p>
        </w:tc>
        <w:tc>
          <w:tcPr>
            <w:tcW w:w="1076" w:type="dxa"/>
            <w:tcBorders>
              <w:top w:val="nil"/>
              <w:left w:val="nil"/>
              <w:bottom w:val="nil"/>
              <w:right w:val="single" w:sz="8" w:space="0" w:color="auto"/>
            </w:tcBorders>
            <w:shd w:val="clear" w:color="auto" w:fill="auto"/>
            <w:vAlign w:val="center"/>
            <w:hideMark/>
          </w:tcPr>
          <w:p w14:paraId="232D2D82"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1.4 MHz</w:t>
            </w:r>
          </w:p>
        </w:tc>
        <w:tc>
          <w:tcPr>
            <w:tcW w:w="1076" w:type="dxa"/>
            <w:tcBorders>
              <w:top w:val="nil"/>
              <w:left w:val="nil"/>
              <w:bottom w:val="nil"/>
              <w:right w:val="single" w:sz="8" w:space="0" w:color="auto"/>
            </w:tcBorders>
            <w:shd w:val="clear" w:color="auto" w:fill="auto"/>
            <w:vAlign w:val="center"/>
            <w:hideMark/>
          </w:tcPr>
          <w:p w14:paraId="173795CB"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3 MHz</w:t>
            </w:r>
          </w:p>
        </w:tc>
        <w:tc>
          <w:tcPr>
            <w:tcW w:w="1076" w:type="dxa"/>
            <w:tcBorders>
              <w:top w:val="nil"/>
              <w:left w:val="nil"/>
              <w:bottom w:val="nil"/>
              <w:right w:val="single" w:sz="8" w:space="0" w:color="auto"/>
            </w:tcBorders>
            <w:shd w:val="clear" w:color="auto" w:fill="auto"/>
            <w:vAlign w:val="center"/>
            <w:hideMark/>
          </w:tcPr>
          <w:p w14:paraId="4A7A3DC0"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5 MHz</w:t>
            </w:r>
          </w:p>
        </w:tc>
        <w:tc>
          <w:tcPr>
            <w:tcW w:w="1076" w:type="dxa"/>
            <w:tcBorders>
              <w:top w:val="nil"/>
              <w:left w:val="nil"/>
              <w:bottom w:val="nil"/>
              <w:right w:val="single" w:sz="8" w:space="0" w:color="auto"/>
            </w:tcBorders>
            <w:shd w:val="clear" w:color="auto" w:fill="auto"/>
            <w:vAlign w:val="center"/>
            <w:hideMark/>
          </w:tcPr>
          <w:p w14:paraId="4E9FC0A5"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10 MHz</w:t>
            </w:r>
          </w:p>
        </w:tc>
        <w:tc>
          <w:tcPr>
            <w:tcW w:w="1076" w:type="dxa"/>
            <w:tcBorders>
              <w:top w:val="nil"/>
              <w:left w:val="nil"/>
              <w:bottom w:val="nil"/>
              <w:right w:val="single" w:sz="8" w:space="0" w:color="auto"/>
            </w:tcBorders>
            <w:shd w:val="clear" w:color="auto" w:fill="auto"/>
            <w:vAlign w:val="center"/>
            <w:hideMark/>
          </w:tcPr>
          <w:p w14:paraId="61AE683C"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15 MHz</w:t>
            </w:r>
          </w:p>
        </w:tc>
        <w:tc>
          <w:tcPr>
            <w:tcW w:w="1076" w:type="dxa"/>
            <w:tcBorders>
              <w:top w:val="nil"/>
              <w:left w:val="nil"/>
              <w:bottom w:val="nil"/>
              <w:right w:val="single" w:sz="8" w:space="0" w:color="auto"/>
            </w:tcBorders>
            <w:shd w:val="clear" w:color="auto" w:fill="auto"/>
            <w:vAlign w:val="center"/>
            <w:hideMark/>
          </w:tcPr>
          <w:p w14:paraId="7AE1AE05"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20 MHz</w:t>
            </w:r>
          </w:p>
        </w:tc>
        <w:tc>
          <w:tcPr>
            <w:tcW w:w="1077" w:type="dxa"/>
            <w:vMerge w:val="restart"/>
            <w:tcBorders>
              <w:top w:val="nil"/>
              <w:left w:val="single" w:sz="8" w:space="0" w:color="auto"/>
              <w:bottom w:val="single" w:sz="8" w:space="0" w:color="000000"/>
              <w:right w:val="single" w:sz="8" w:space="0" w:color="auto"/>
            </w:tcBorders>
            <w:shd w:val="clear" w:color="auto" w:fill="auto"/>
            <w:vAlign w:val="center"/>
            <w:hideMark/>
          </w:tcPr>
          <w:p w14:paraId="3EDDE90E" w14:textId="77777777" w:rsidR="003C5A4D" w:rsidRPr="003C5A4D" w:rsidRDefault="003C5A4D" w:rsidP="003C5A4D">
            <w:pPr>
              <w:jc w:val="center"/>
              <w:rPr>
                <w:rFonts w:ascii="Arial" w:eastAsia="等线" w:hAnsi="Arial" w:cs="Arial"/>
                <w:b/>
                <w:bCs/>
                <w:color w:val="000000"/>
                <w:sz w:val="18"/>
                <w:szCs w:val="18"/>
                <w:lang w:eastAsia="zh-CN"/>
              </w:rPr>
            </w:pPr>
            <w:r w:rsidRPr="003C5A4D">
              <w:rPr>
                <w:rFonts w:ascii="Arial" w:eastAsia="等线" w:hAnsi="Arial" w:cs="Arial"/>
                <w:b/>
                <w:bCs/>
                <w:color w:val="000000"/>
                <w:sz w:val="18"/>
                <w:szCs w:val="18"/>
                <w:lang w:eastAsia="zh-CN"/>
              </w:rPr>
              <w:t>Duplex Mode</w:t>
            </w:r>
          </w:p>
        </w:tc>
      </w:tr>
      <w:tr w:rsidR="003C5A4D" w:rsidRPr="003C5A4D" w14:paraId="463064C7" w14:textId="77777777" w:rsidTr="001E165C">
        <w:trPr>
          <w:trHeight w:val="241"/>
        </w:trPr>
        <w:tc>
          <w:tcPr>
            <w:tcW w:w="1076" w:type="dxa"/>
            <w:vMerge/>
            <w:tcBorders>
              <w:top w:val="nil"/>
              <w:left w:val="single" w:sz="8" w:space="0" w:color="auto"/>
              <w:bottom w:val="single" w:sz="8" w:space="0" w:color="000000"/>
              <w:right w:val="single" w:sz="8" w:space="0" w:color="auto"/>
            </w:tcBorders>
            <w:vAlign w:val="center"/>
            <w:hideMark/>
          </w:tcPr>
          <w:p w14:paraId="31E79875" w14:textId="77777777" w:rsidR="003C5A4D" w:rsidRPr="003C5A4D" w:rsidRDefault="003C5A4D" w:rsidP="003C5A4D">
            <w:pPr>
              <w:rPr>
                <w:rFonts w:ascii="Arial" w:eastAsia="等线" w:hAnsi="Arial" w:cs="Arial"/>
                <w:b/>
                <w:bCs/>
                <w:color w:val="000000"/>
                <w:sz w:val="18"/>
                <w:szCs w:val="18"/>
                <w:lang w:eastAsia="zh-CN"/>
              </w:rPr>
            </w:pPr>
          </w:p>
        </w:tc>
        <w:tc>
          <w:tcPr>
            <w:tcW w:w="1076" w:type="dxa"/>
            <w:tcBorders>
              <w:top w:val="nil"/>
              <w:left w:val="nil"/>
              <w:bottom w:val="single" w:sz="8" w:space="0" w:color="auto"/>
              <w:right w:val="single" w:sz="8" w:space="0" w:color="auto"/>
            </w:tcBorders>
            <w:shd w:val="clear" w:color="auto" w:fill="auto"/>
            <w:vAlign w:val="center"/>
            <w:hideMark/>
          </w:tcPr>
          <w:p w14:paraId="1CD09267"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val="en-US" w:eastAsia="zh-CN"/>
              </w:rPr>
              <w:t>(dBm)</w:t>
            </w:r>
          </w:p>
        </w:tc>
        <w:tc>
          <w:tcPr>
            <w:tcW w:w="1076" w:type="dxa"/>
            <w:tcBorders>
              <w:top w:val="nil"/>
              <w:left w:val="nil"/>
              <w:bottom w:val="single" w:sz="8" w:space="0" w:color="auto"/>
              <w:right w:val="single" w:sz="8" w:space="0" w:color="auto"/>
            </w:tcBorders>
            <w:shd w:val="clear" w:color="auto" w:fill="auto"/>
            <w:vAlign w:val="center"/>
            <w:hideMark/>
          </w:tcPr>
          <w:p w14:paraId="088D415A"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val="en-US" w:eastAsia="zh-CN"/>
              </w:rPr>
              <w:t>(dBm)</w:t>
            </w:r>
          </w:p>
        </w:tc>
        <w:tc>
          <w:tcPr>
            <w:tcW w:w="1076" w:type="dxa"/>
            <w:tcBorders>
              <w:top w:val="nil"/>
              <w:left w:val="nil"/>
              <w:bottom w:val="single" w:sz="8" w:space="0" w:color="auto"/>
              <w:right w:val="single" w:sz="8" w:space="0" w:color="auto"/>
            </w:tcBorders>
            <w:shd w:val="clear" w:color="auto" w:fill="auto"/>
            <w:vAlign w:val="center"/>
            <w:hideMark/>
          </w:tcPr>
          <w:p w14:paraId="2E10DB8F"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val="en-US" w:eastAsia="zh-CN"/>
              </w:rPr>
              <w:t>(dBm)</w:t>
            </w:r>
          </w:p>
        </w:tc>
        <w:tc>
          <w:tcPr>
            <w:tcW w:w="1076" w:type="dxa"/>
            <w:tcBorders>
              <w:top w:val="nil"/>
              <w:left w:val="nil"/>
              <w:bottom w:val="single" w:sz="8" w:space="0" w:color="auto"/>
              <w:right w:val="single" w:sz="8" w:space="0" w:color="auto"/>
            </w:tcBorders>
            <w:shd w:val="clear" w:color="auto" w:fill="auto"/>
            <w:vAlign w:val="center"/>
            <w:hideMark/>
          </w:tcPr>
          <w:p w14:paraId="57C3C9D3"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val="en-US" w:eastAsia="zh-CN"/>
              </w:rPr>
              <w:t>(dBm)</w:t>
            </w:r>
          </w:p>
        </w:tc>
        <w:tc>
          <w:tcPr>
            <w:tcW w:w="1076" w:type="dxa"/>
            <w:tcBorders>
              <w:top w:val="nil"/>
              <w:left w:val="nil"/>
              <w:bottom w:val="single" w:sz="8" w:space="0" w:color="auto"/>
              <w:right w:val="single" w:sz="8" w:space="0" w:color="auto"/>
            </w:tcBorders>
            <w:shd w:val="clear" w:color="auto" w:fill="auto"/>
            <w:vAlign w:val="center"/>
            <w:hideMark/>
          </w:tcPr>
          <w:p w14:paraId="0D228B6E"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val="en-US" w:eastAsia="zh-CN"/>
              </w:rPr>
              <w:t>(dBm)</w:t>
            </w:r>
          </w:p>
        </w:tc>
        <w:tc>
          <w:tcPr>
            <w:tcW w:w="1076" w:type="dxa"/>
            <w:tcBorders>
              <w:top w:val="nil"/>
              <w:left w:val="nil"/>
              <w:bottom w:val="single" w:sz="8" w:space="0" w:color="auto"/>
              <w:right w:val="single" w:sz="8" w:space="0" w:color="auto"/>
            </w:tcBorders>
            <w:shd w:val="clear" w:color="auto" w:fill="auto"/>
            <w:vAlign w:val="center"/>
            <w:hideMark/>
          </w:tcPr>
          <w:p w14:paraId="014BC465" w14:textId="77777777" w:rsidR="003C5A4D" w:rsidRPr="003C5A4D" w:rsidRDefault="003C5A4D" w:rsidP="003C5A4D">
            <w:pPr>
              <w:jc w:val="center"/>
              <w:rPr>
                <w:rFonts w:ascii="Arial" w:eastAsia="等线" w:hAnsi="Arial" w:cs="Arial"/>
                <w:b/>
                <w:bCs/>
                <w:color w:val="000000"/>
                <w:sz w:val="18"/>
                <w:szCs w:val="18"/>
                <w:lang w:val="en-US" w:eastAsia="zh-CN"/>
              </w:rPr>
            </w:pPr>
            <w:r w:rsidRPr="003C5A4D">
              <w:rPr>
                <w:rFonts w:ascii="Arial" w:eastAsia="等线" w:hAnsi="Arial" w:cs="Arial"/>
                <w:b/>
                <w:bCs/>
                <w:color w:val="000000"/>
                <w:sz w:val="18"/>
                <w:szCs w:val="18"/>
                <w:lang w:val="en-US" w:eastAsia="zh-CN"/>
              </w:rPr>
              <w:t>(dBm)</w:t>
            </w:r>
          </w:p>
        </w:tc>
        <w:tc>
          <w:tcPr>
            <w:tcW w:w="1077" w:type="dxa"/>
            <w:vMerge/>
            <w:tcBorders>
              <w:top w:val="nil"/>
              <w:left w:val="single" w:sz="8" w:space="0" w:color="auto"/>
              <w:bottom w:val="single" w:sz="8" w:space="0" w:color="000000"/>
              <w:right w:val="single" w:sz="8" w:space="0" w:color="auto"/>
            </w:tcBorders>
            <w:vAlign w:val="center"/>
            <w:hideMark/>
          </w:tcPr>
          <w:p w14:paraId="52BA0A77" w14:textId="77777777" w:rsidR="003C5A4D" w:rsidRPr="003C5A4D" w:rsidRDefault="003C5A4D" w:rsidP="003C5A4D">
            <w:pPr>
              <w:rPr>
                <w:rFonts w:ascii="Arial" w:eastAsia="等线" w:hAnsi="Arial" w:cs="Arial"/>
                <w:b/>
                <w:bCs/>
                <w:color w:val="000000"/>
                <w:sz w:val="18"/>
                <w:szCs w:val="18"/>
                <w:lang w:eastAsia="zh-CN"/>
              </w:rPr>
            </w:pPr>
          </w:p>
        </w:tc>
      </w:tr>
      <w:tr w:rsidR="003C5A4D" w:rsidRPr="003C5A4D" w14:paraId="3D8B2BB5"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4996FAA9"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w:t>
            </w:r>
          </w:p>
        </w:tc>
        <w:tc>
          <w:tcPr>
            <w:tcW w:w="1076" w:type="dxa"/>
            <w:tcBorders>
              <w:top w:val="nil"/>
              <w:left w:val="nil"/>
              <w:bottom w:val="single" w:sz="8" w:space="0" w:color="auto"/>
              <w:right w:val="single" w:sz="8" w:space="0" w:color="auto"/>
            </w:tcBorders>
            <w:shd w:val="clear" w:color="auto" w:fill="auto"/>
            <w:vAlign w:val="center"/>
            <w:hideMark/>
          </w:tcPr>
          <w:p w14:paraId="401B137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69C68F8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17DED7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70BAE8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632F84F"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1C6CEBC2"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199D2B19"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737D916A"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1F189F7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3</w:t>
            </w:r>
          </w:p>
        </w:tc>
        <w:tc>
          <w:tcPr>
            <w:tcW w:w="1076" w:type="dxa"/>
            <w:tcBorders>
              <w:top w:val="nil"/>
              <w:left w:val="nil"/>
              <w:bottom w:val="single" w:sz="8" w:space="0" w:color="auto"/>
              <w:right w:val="single" w:sz="8" w:space="0" w:color="auto"/>
            </w:tcBorders>
            <w:shd w:val="clear" w:color="auto" w:fill="auto"/>
            <w:vAlign w:val="center"/>
            <w:hideMark/>
          </w:tcPr>
          <w:p w14:paraId="0EAB44FF"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B82A228"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D93C939"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699B70B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B40E51F"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3A27D4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1BADBEC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6F7311D8"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334092A2"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4</w:t>
            </w:r>
          </w:p>
        </w:tc>
        <w:tc>
          <w:tcPr>
            <w:tcW w:w="1076" w:type="dxa"/>
            <w:tcBorders>
              <w:top w:val="nil"/>
              <w:left w:val="nil"/>
              <w:bottom w:val="single" w:sz="8" w:space="0" w:color="auto"/>
              <w:right w:val="single" w:sz="8" w:space="0" w:color="auto"/>
            </w:tcBorders>
            <w:shd w:val="clear" w:color="auto" w:fill="auto"/>
            <w:vAlign w:val="center"/>
            <w:hideMark/>
          </w:tcPr>
          <w:p w14:paraId="4F4625E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128A24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1EE545D9"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CB54C1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234889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2468BCD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6121F9A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24C4ECEE"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2C8082AE"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5</w:t>
            </w:r>
          </w:p>
        </w:tc>
        <w:tc>
          <w:tcPr>
            <w:tcW w:w="1076" w:type="dxa"/>
            <w:tcBorders>
              <w:top w:val="nil"/>
              <w:left w:val="nil"/>
              <w:bottom w:val="single" w:sz="8" w:space="0" w:color="auto"/>
              <w:right w:val="single" w:sz="8" w:space="0" w:color="auto"/>
            </w:tcBorders>
            <w:shd w:val="clear" w:color="auto" w:fill="auto"/>
            <w:vAlign w:val="center"/>
            <w:hideMark/>
          </w:tcPr>
          <w:p w14:paraId="592226C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E356FEA"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313278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0DFE60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28890DD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2CE49C6B"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7" w:type="dxa"/>
            <w:tcBorders>
              <w:top w:val="nil"/>
              <w:left w:val="nil"/>
              <w:bottom w:val="single" w:sz="8" w:space="0" w:color="auto"/>
              <w:right w:val="single" w:sz="8" w:space="0" w:color="auto"/>
            </w:tcBorders>
            <w:shd w:val="clear" w:color="auto" w:fill="auto"/>
            <w:vAlign w:val="center"/>
            <w:hideMark/>
          </w:tcPr>
          <w:p w14:paraId="5951736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55B52E21"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31C2329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lastRenderedPageBreak/>
              <w:t>8</w:t>
            </w:r>
          </w:p>
        </w:tc>
        <w:tc>
          <w:tcPr>
            <w:tcW w:w="1076" w:type="dxa"/>
            <w:tcBorders>
              <w:top w:val="nil"/>
              <w:left w:val="nil"/>
              <w:bottom w:val="single" w:sz="8" w:space="0" w:color="auto"/>
              <w:right w:val="single" w:sz="8" w:space="0" w:color="auto"/>
            </w:tcBorders>
            <w:shd w:val="clear" w:color="auto" w:fill="auto"/>
            <w:vAlign w:val="center"/>
            <w:hideMark/>
          </w:tcPr>
          <w:p w14:paraId="021B9351"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6EF305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11E500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12EFEB0A"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1918ACB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62A67FEE"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7" w:type="dxa"/>
            <w:tcBorders>
              <w:top w:val="nil"/>
              <w:left w:val="nil"/>
              <w:bottom w:val="single" w:sz="8" w:space="0" w:color="auto"/>
              <w:right w:val="single" w:sz="8" w:space="0" w:color="auto"/>
            </w:tcBorders>
            <w:shd w:val="clear" w:color="auto" w:fill="auto"/>
            <w:vAlign w:val="center"/>
            <w:hideMark/>
          </w:tcPr>
          <w:p w14:paraId="2886C80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1EABC779"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22B7838E"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13</w:t>
            </w:r>
          </w:p>
        </w:tc>
        <w:tc>
          <w:tcPr>
            <w:tcW w:w="1076" w:type="dxa"/>
            <w:tcBorders>
              <w:top w:val="nil"/>
              <w:left w:val="nil"/>
              <w:bottom w:val="single" w:sz="8" w:space="0" w:color="auto"/>
              <w:right w:val="single" w:sz="8" w:space="0" w:color="auto"/>
            </w:tcBorders>
            <w:shd w:val="clear" w:color="auto" w:fill="auto"/>
            <w:vAlign w:val="center"/>
            <w:hideMark/>
          </w:tcPr>
          <w:p w14:paraId="753E90B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7C4283CF"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1EC79968"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3</w:t>
            </w:r>
          </w:p>
        </w:tc>
        <w:tc>
          <w:tcPr>
            <w:tcW w:w="1076" w:type="dxa"/>
            <w:tcBorders>
              <w:top w:val="nil"/>
              <w:left w:val="nil"/>
              <w:bottom w:val="single" w:sz="8" w:space="0" w:color="auto"/>
              <w:right w:val="single" w:sz="8" w:space="0" w:color="auto"/>
            </w:tcBorders>
            <w:shd w:val="clear" w:color="auto" w:fill="auto"/>
            <w:vAlign w:val="center"/>
            <w:hideMark/>
          </w:tcPr>
          <w:p w14:paraId="6A54F25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3</w:t>
            </w:r>
          </w:p>
        </w:tc>
        <w:tc>
          <w:tcPr>
            <w:tcW w:w="1076" w:type="dxa"/>
            <w:tcBorders>
              <w:top w:val="nil"/>
              <w:left w:val="nil"/>
              <w:bottom w:val="single" w:sz="8" w:space="0" w:color="auto"/>
              <w:right w:val="single" w:sz="8" w:space="0" w:color="auto"/>
            </w:tcBorders>
            <w:shd w:val="clear" w:color="auto" w:fill="auto"/>
            <w:vAlign w:val="center"/>
            <w:hideMark/>
          </w:tcPr>
          <w:p w14:paraId="57E1B8F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0982A36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7" w:type="dxa"/>
            <w:tcBorders>
              <w:top w:val="nil"/>
              <w:left w:val="nil"/>
              <w:bottom w:val="single" w:sz="8" w:space="0" w:color="auto"/>
              <w:right w:val="single" w:sz="8" w:space="0" w:color="auto"/>
            </w:tcBorders>
            <w:shd w:val="clear" w:color="auto" w:fill="auto"/>
            <w:vAlign w:val="center"/>
            <w:hideMark/>
          </w:tcPr>
          <w:p w14:paraId="73C3193A"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1A5D5C69"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3F103B1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20</w:t>
            </w:r>
          </w:p>
        </w:tc>
        <w:tc>
          <w:tcPr>
            <w:tcW w:w="1076" w:type="dxa"/>
            <w:tcBorders>
              <w:top w:val="nil"/>
              <w:left w:val="nil"/>
              <w:bottom w:val="single" w:sz="8" w:space="0" w:color="auto"/>
              <w:right w:val="single" w:sz="8" w:space="0" w:color="auto"/>
            </w:tcBorders>
            <w:shd w:val="clear" w:color="auto" w:fill="auto"/>
            <w:vAlign w:val="center"/>
            <w:hideMark/>
          </w:tcPr>
          <w:p w14:paraId="6CB865F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792C3819"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30711E0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E99D1A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6E0BD438"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3</w:t>
            </w:r>
          </w:p>
        </w:tc>
        <w:tc>
          <w:tcPr>
            <w:tcW w:w="1076" w:type="dxa"/>
            <w:tcBorders>
              <w:top w:val="nil"/>
              <w:left w:val="nil"/>
              <w:bottom w:val="single" w:sz="8" w:space="0" w:color="auto"/>
              <w:right w:val="single" w:sz="8" w:space="0" w:color="auto"/>
            </w:tcBorders>
            <w:shd w:val="clear" w:color="auto" w:fill="auto"/>
            <w:vAlign w:val="center"/>
            <w:hideMark/>
          </w:tcPr>
          <w:p w14:paraId="56D9542A"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3</w:t>
            </w:r>
          </w:p>
        </w:tc>
        <w:tc>
          <w:tcPr>
            <w:tcW w:w="1077" w:type="dxa"/>
            <w:tcBorders>
              <w:top w:val="nil"/>
              <w:left w:val="nil"/>
              <w:bottom w:val="single" w:sz="8" w:space="0" w:color="auto"/>
              <w:right w:val="single" w:sz="8" w:space="0" w:color="auto"/>
            </w:tcBorders>
            <w:shd w:val="clear" w:color="auto" w:fill="auto"/>
            <w:vAlign w:val="center"/>
            <w:hideMark/>
          </w:tcPr>
          <w:p w14:paraId="6A7EB7C8"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44EE3317"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0AAED91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0CA78D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228A4F6F"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2F1616E3"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D78D9D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2049924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417D75C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051D024F"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15880AE0"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012AE183"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26</w:t>
            </w:r>
          </w:p>
        </w:tc>
        <w:tc>
          <w:tcPr>
            <w:tcW w:w="1076" w:type="dxa"/>
            <w:tcBorders>
              <w:top w:val="nil"/>
              <w:left w:val="nil"/>
              <w:bottom w:val="single" w:sz="8" w:space="0" w:color="auto"/>
              <w:right w:val="single" w:sz="8" w:space="0" w:color="auto"/>
            </w:tcBorders>
            <w:shd w:val="clear" w:color="auto" w:fill="auto"/>
            <w:vAlign w:val="center"/>
            <w:hideMark/>
          </w:tcPr>
          <w:p w14:paraId="6519FE22"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1374A4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1284DC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23C543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F7766B3"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2AB94C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7" w:type="dxa"/>
            <w:tcBorders>
              <w:top w:val="nil"/>
              <w:left w:val="nil"/>
              <w:bottom w:val="single" w:sz="8" w:space="0" w:color="auto"/>
              <w:right w:val="single" w:sz="8" w:space="0" w:color="auto"/>
            </w:tcBorders>
            <w:shd w:val="clear" w:color="auto" w:fill="auto"/>
            <w:vAlign w:val="center"/>
            <w:hideMark/>
          </w:tcPr>
          <w:p w14:paraId="3B786A0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77E4AB36"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1F15EAA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28</w:t>
            </w:r>
          </w:p>
        </w:tc>
        <w:tc>
          <w:tcPr>
            <w:tcW w:w="1076" w:type="dxa"/>
            <w:tcBorders>
              <w:top w:val="nil"/>
              <w:left w:val="nil"/>
              <w:bottom w:val="single" w:sz="8" w:space="0" w:color="auto"/>
              <w:right w:val="single" w:sz="8" w:space="0" w:color="auto"/>
            </w:tcBorders>
            <w:shd w:val="clear" w:color="auto" w:fill="auto"/>
            <w:vAlign w:val="center"/>
            <w:hideMark/>
          </w:tcPr>
          <w:p w14:paraId="26D8A44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6022D876"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3D70833"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B62647E"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68B6190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2CEBFB6A"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7418D65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r w:rsidR="003C5A4D" w:rsidRPr="003C5A4D" w14:paraId="23A693B7"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1A89398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39</w:t>
            </w:r>
          </w:p>
        </w:tc>
        <w:tc>
          <w:tcPr>
            <w:tcW w:w="1076" w:type="dxa"/>
            <w:tcBorders>
              <w:top w:val="nil"/>
              <w:left w:val="nil"/>
              <w:bottom w:val="single" w:sz="8" w:space="0" w:color="auto"/>
              <w:right w:val="single" w:sz="8" w:space="0" w:color="auto"/>
            </w:tcBorders>
            <w:shd w:val="clear" w:color="auto" w:fill="auto"/>
            <w:vAlign w:val="center"/>
            <w:hideMark/>
          </w:tcPr>
          <w:p w14:paraId="1D706362"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7BA165B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79C70EE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649327B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7C670D5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187894F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64F8461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TDD</w:t>
            </w:r>
          </w:p>
        </w:tc>
      </w:tr>
      <w:tr w:rsidR="003C5A4D" w:rsidRPr="003C5A4D" w14:paraId="65B9A734"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487D8A6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40</w:t>
            </w:r>
          </w:p>
        </w:tc>
        <w:tc>
          <w:tcPr>
            <w:tcW w:w="1076" w:type="dxa"/>
            <w:tcBorders>
              <w:top w:val="nil"/>
              <w:left w:val="nil"/>
              <w:bottom w:val="single" w:sz="8" w:space="0" w:color="auto"/>
              <w:right w:val="single" w:sz="8" w:space="0" w:color="auto"/>
            </w:tcBorders>
            <w:shd w:val="clear" w:color="auto" w:fill="auto"/>
            <w:vAlign w:val="center"/>
            <w:hideMark/>
          </w:tcPr>
          <w:p w14:paraId="133370BB"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37786B3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21B5AFB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5222C2B1"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1A93D78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4BFCD4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3D32ECF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TDD</w:t>
            </w:r>
          </w:p>
        </w:tc>
      </w:tr>
      <w:tr w:rsidR="003C5A4D" w:rsidRPr="003C5A4D" w14:paraId="53F65F7D"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1E50702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41</w:t>
            </w:r>
          </w:p>
        </w:tc>
        <w:tc>
          <w:tcPr>
            <w:tcW w:w="1076" w:type="dxa"/>
            <w:tcBorders>
              <w:top w:val="nil"/>
              <w:left w:val="nil"/>
              <w:bottom w:val="single" w:sz="8" w:space="0" w:color="auto"/>
              <w:right w:val="single" w:sz="8" w:space="0" w:color="auto"/>
            </w:tcBorders>
            <w:shd w:val="clear" w:color="auto" w:fill="auto"/>
            <w:vAlign w:val="center"/>
            <w:hideMark/>
          </w:tcPr>
          <w:p w14:paraId="0EEC329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165E505C"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3B3D8A0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42E5EA2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954439E"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00B2C46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7" w:type="dxa"/>
            <w:tcBorders>
              <w:top w:val="nil"/>
              <w:left w:val="nil"/>
              <w:bottom w:val="single" w:sz="8" w:space="0" w:color="auto"/>
              <w:right w:val="single" w:sz="8" w:space="0" w:color="auto"/>
            </w:tcBorders>
            <w:shd w:val="clear" w:color="auto" w:fill="auto"/>
            <w:vAlign w:val="center"/>
            <w:hideMark/>
          </w:tcPr>
          <w:p w14:paraId="6524E873"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TDD</w:t>
            </w:r>
          </w:p>
        </w:tc>
      </w:tr>
      <w:tr w:rsidR="003C5A4D" w:rsidRPr="003C5A4D" w14:paraId="6F4629C6" w14:textId="77777777" w:rsidTr="001E165C">
        <w:trPr>
          <w:trHeight w:val="241"/>
        </w:trPr>
        <w:tc>
          <w:tcPr>
            <w:tcW w:w="1076" w:type="dxa"/>
            <w:tcBorders>
              <w:top w:val="nil"/>
              <w:left w:val="single" w:sz="8" w:space="0" w:color="auto"/>
              <w:bottom w:val="single" w:sz="8" w:space="0" w:color="auto"/>
              <w:right w:val="single" w:sz="8" w:space="0" w:color="auto"/>
            </w:tcBorders>
            <w:shd w:val="clear" w:color="auto" w:fill="auto"/>
            <w:vAlign w:val="center"/>
            <w:hideMark/>
          </w:tcPr>
          <w:p w14:paraId="2DBA304D"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111</w:t>
            </w:r>
          </w:p>
        </w:tc>
        <w:tc>
          <w:tcPr>
            <w:tcW w:w="1076" w:type="dxa"/>
            <w:tcBorders>
              <w:top w:val="nil"/>
              <w:left w:val="nil"/>
              <w:bottom w:val="single" w:sz="8" w:space="0" w:color="auto"/>
              <w:right w:val="single" w:sz="8" w:space="0" w:color="auto"/>
            </w:tcBorders>
            <w:shd w:val="clear" w:color="auto" w:fill="auto"/>
            <w:vAlign w:val="center"/>
            <w:hideMark/>
          </w:tcPr>
          <w:p w14:paraId="5ADBD768"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EE39E07"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3D3245F0"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4CB1E865"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2.5</w:t>
            </w:r>
          </w:p>
        </w:tc>
        <w:tc>
          <w:tcPr>
            <w:tcW w:w="1076" w:type="dxa"/>
            <w:tcBorders>
              <w:top w:val="nil"/>
              <w:left w:val="nil"/>
              <w:bottom w:val="single" w:sz="8" w:space="0" w:color="auto"/>
              <w:right w:val="single" w:sz="8" w:space="0" w:color="auto"/>
            </w:tcBorders>
            <w:shd w:val="clear" w:color="auto" w:fill="auto"/>
            <w:vAlign w:val="center"/>
            <w:hideMark/>
          </w:tcPr>
          <w:p w14:paraId="602D4D38"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14:paraId="44F85814"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val="en-US" w:eastAsia="zh-CN"/>
              </w:rPr>
              <w:t xml:space="preserve">　</w:t>
            </w:r>
          </w:p>
        </w:tc>
        <w:tc>
          <w:tcPr>
            <w:tcW w:w="1077" w:type="dxa"/>
            <w:tcBorders>
              <w:top w:val="nil"/>
              <w:left w:val="nil"/>
              <w:bottom w:val="single" w:sz="8" w:space="0" w:color="auto"/>
              <w:right w:val="single" w:sz="8" w:space="0" w:color="auto"/>
            </w:tcBorders>
            <w:shd w:val="clear" w:color="auto" w:fill="auto"/>
            <w:vAlign w:val="center"/>
            <w:hideMark/>
          </w:tcPr>
          <w:p w14:paraId="0657BEFA" w14:textId="77777777" w:rsidR="003C5A4D" w:rsidRPr="003C5A4D" w:rsidRDefault="003C5A4D" w:rsidP="003C5A4D">
            <w:pPr>
              <w:jc w:val="center"/>
              <w:rPr>
                <w:rFonts w:ascii="Arial" w:eastAsia="等线" w:hAnsi="Arial" w:cs="Arial"/>
                <w:color w:val="000000"/>
                <w:sz w:val="18"/>
                <w:szCs w:val="18"/>
                <w:lang w:val="en-US" w:eastAsia="zh-CN"/>
              </w:rPr>
            </w:pPr>
            <w:r w:rsidRPr="003C5A4D">
              <w:rPr>
                <w:rFonts w:ascii="Arial" w:eastAsia="等线" w:hAnsi="Arial" w:cs="Arial"/>
                <w:color w:val="000000"/>
                <w:sz w:val="18"/>
                <w:szCs w:val="18"/>
                <w:lang w:eastAsia="zh-CN"/>
              </w:rPr>
              <w:t>FDD</w:t>
            </w:r>
          </w:p>
        </w:tc>
      </w:tr>
    </w:tbl>
    <w:p w14:paraId="4496F79C" w14:textId="77777777" w:rsidR="007225DB" w:rsidRDefault="007225DB" w:rsidP="00AB4279">
      <w:pPr>
        <w:snapToGrid w:val="0"/>
        <w:spacing w:after="120"/>
        <w:rPr>
          <w:rFonts w:eastAsiaTheme="minorEastAsia"/>
          <w:sz w:val="21"/>
          <w:szCs w:val="21"/>
          <w:lang w:val="en-US" w:eastAsia="zh-CN"/>
        </w:rPr>
      </w:pPr>
    </w:p>
    <w:p w14:paraId="77CFE7E4" w14:textId="772206AB" w:rsidR="001E165C" w:rsidRDefault="001E165C" w:rsidP="00AB4279">
      <w:pPr>
        <w:snapToGrid w:val="0"/>
        <w:spacing w:after="120"/>
        <w:rPr>
          <w:rFonts w:eastAsiaTheme="minorEastAsia"/>
          <w:sz w:val="21"/>
          <w:szCs w:val="21"/>
          <w:lang w:val="en-US" w:eastAsia="zh-CN"/>
        </w:rPr>
      </w:pPr>
      <w:r w:rsidRPr="00AF4842">
        <w:rPr>
          <w:rFonts w:eastAsiaTheme="minorEastAsia"/>
          <w:b/>
          <w:bCs/>
          <w:sz w:val="21"/>
          <w:szCs w:val="21"/>
          <w:lang w:val="en-US" w:eastAsia="zh-CN"/>
        </w:rPr>
        <w:t xml:space="preserve">Observation </w:t>
      </w:r>
      <w:r w:rsidR="00957AB7">
        <w:rPr>
          <w:rFonts w:eastAsiaTheme="minorEastAsia"/>
          <w:b/>
          <w:bCs/>
          <w:sz w:val="21"/>
          <w:szCs w:val="21"/>
          <w:lang w:val="en-US" w:eastAsia="zh-CN"/>
        </w:rPr>
        <w:t>3</w:t>
      </w:r>
      <w:r w:rsidRPr="00AF4842">
        <w:rPr>
          <w:rFonts w:eastAsiaTheme="minorEastAsia"/>
          <w:b/>
          <w:bCs/>
          <w:sz w:val="21"/>
          <w:szCs w:val="21"/>
          <w:lang w:val="en-US" w:eastAsia="zh-CN"/>
        </w:rPr>
        <w:t xml:space="preserve">: </w:t>
      </w:r>
      <w:r>
        <w:rPr>
          <w:rFonts w:eastAsiaTheme="minorEastAsia"/>
          <w:sz w:val="21"/>
          <w:szCs w:val="21"/>
          <w:lang w:val="en-US" w:eastAsia="zh-CN"/>
        </w:rPr>
        <w:t xml:space="preserve">At least when </w:t>
      </w:r>
      <w:r w:rsidR="00AF4842">
        <w:rPr>
          <w:rFonts w:eastAsiaTheme="minorEastAsia"/>
          <w:sz w:val="21"/>
          <w:szCs w:val="21"/>
          <w:lang w:val="en-US" w:eastAsia="zh-CN"/>
        </w:rPr>
        <w:t>the REFSENS for normal UE with 2</w:t>
      </w:r>
      <w:r w:rsidR="00AF4842">
        <w:rPr>
          <w:rFonts w:eastAsiaTheme="minorEastAsia" w:hint="eastAsia"/>
          <w:sz w:val="21"/>
          <w:szCs w:val="21"/>
          <w:lang w:val="en-US" w:eastAsia="zh-CN"/>
        </w:rPr>
        <w:t>Rx</w:t>
      </w:r>
      <w:r w:rsidR="00AF4842">
        <w:rPr>
          <w:rFonts w:eastAsiaTheme="minorEastAsia"/>
          <w:sz w:val="21"/>
          <w:szCs w:val="21"/>
          <w:lang w:val="en-US" w:eastAsia="zh-CN"/>
        </w:rPr>
        <w:t xml:space="preserve"> is larger than </w:t>
      </w:r>
      <w:r w:rsidR="0082642F">
        <w:rPr>
          <w:rFonts w:eastAsiaTheme="minorEastAsia"/>
          <w:sz w:val="21"/>
          <w:szCs w:val="21"/>
          <w:lang w:val="en-US" w:eastAsia="zh-CN"/>
        </w:rPr>
        <w:t>89.5</w:t>
      </w:r>
      <w:r w:rsidR="00AF4842">
        <w:rPr>
          <w:rFonts w:eastAsiaTheme="minorEastAsia"/>
          <w:sz w:val="21"/>
          <w:szCs w:val="21"/>
          <w:lang w:val="en-US" w:eastAsia="zh-CN"/>
        </w:rPr>
        <w:t xml:space="preserve">dBm, the </w:t>
      </w:r>
      <w:r w:rsidR="00AF4842" w:rsidRPr="00AF4842">
        <w:rPr>
          <w:sz w:val="21"/>
          <w:szCs w:val="16"/>
        </w:rPr>
        <w:t>ΔR</w:t>
      </w:r>
      <w:r w:rsidR="00AF4842" w:rsidRPr="00AF4842">
        <w:rPr>
          <w:sz w:val="21"/>
          <w:szCs w:val="16"/>
          <w:vertAlign w:val="subscript"/>
        </w:rPr>
        <w:t>1R</w:t>
      </w:r>
      <w:r w:rsidR="00AF4842">
        <w:rPr>
          <w:rFonts w:eastAsiaTheme="minorEastAsia"/>
          <w:sz w:val="21"/>
          <w:szCs w:val="21"/>
          <w:lang w:val="en-US" w:eastAsia="zh-CN"/>
        </w:rPr>
        <w:t xml:space="preserve"> values can be kept as 2.5 or 3dB for LTE category 0 or RedCap UE with 1</w:t>
      </w:r>
      <w:r w:rsidR="00AF4842">
        <w:rPr>
          <w:rFonts w:eastAsiaTheme="minorEastAsia" w:hint="eastAsia"/>
          <w:sz w:val="21"/>
          <w:szCs w:val="21"/>
          <w:lang w:val="en-US" w:eastAsia="zh-CN"/>
        </w:rPr>
        <w:t>Rx</w:t>
      </w:r>
    </w:p>
    <w:p w14:paraId="7331E403" w14:textId="6A3EF28B" w:rsidR="00AF4842" w:rsidRPr="00AF4842" w:rsidRDefault="00AF4842" w:rsidP="00AB4279">
      <w:pPr>
        <w:snapToGrid w:val="0"/>
        <w:spacing w:after="120"/>
        <w:rPr>
          <w:rFonts w:eastAsiaTheme="minorEastAsia"/>
          <w:b/>
          <w:bCs/>
          <w:sz w:val="21"/>
          <w:szCs w:val="21"/>
          <w:lang w:val="en-US" w:eastAsia="zh-CN"/>
        </w:rPr>
      </w:pPr>
      <w:r w:rsidRPr="00AF4842">
        <w:rPr>
          <w:rFonts w:eastAsiaTheme="minorEastAsia" w:hint="eastAsia"/>
          <w:b/>
          <w:bCs/>
          <w:sz w:val="21"/>
          <w:szCs w:val="21"/>
          <w:lang w:val="en-US" w:eastAsia="zh-CN"/>
        </w:rPr>
        <w:t>P</w:t>
      </w:r>
      <w:r w:rsidRPr="00AF4842">
        <w:rPr>
          <w:rFonts w:eastAsiaTheme="minorEastAsia"/>
          <w:b/>
          <w:bCs/>
          <w:sz w:val="21"/>
          <w:szCs w:val="21"/>
          <w:lang w:val="en-US" w:eastAsia="zh-CN"/>
        </w:rPr>
        <w:t xml:space="preserve">roposal 1: </w:t>
      </w:r>
      <w:r>
        <w:rPr>
          <w:rFonts w:eastAsiaTheme="minorEastAsia"/>
          <w:b/>
          <w:bCs/>
          <w:sz w:val="21"/>
          <w:szCs w:val="21"/>
          <w:lang w:val="en-US" w:eastAsia="zh-CN"/>
        </w:rPr>
        <w:t xml:space="preserve">Add a note to the </w:t>
      </w:r>
      <w:r w:rsidRPr="00AF4842">
        <w:rPr>
          <w:rFonts w:eastAsiaTheme="minorEastAsia"/>
          <w:b/>
          <w:bCs/>
          <w:sz w:val="21"/>
          <w:szCs w:val="21"/>
          <w:lang w:val="en-US" w:eastAsia="zh-CN"/>
        </w:rPr>
        <w:t>Table 7.3I.2-1</w:t>
      </w:r>
      <w:r>
        <w:rPr>
          <w:rFonts w:eastAsiaTheme="minorEastAsia"/>
          <w:b/>
          <w:bCs/>
          <w:sz w:val="21"/>
          <w:szCs w:val="21"/>
          <w:lang w:val="en-US" w:eastAsia="zh-CN"/>
        </w:rPr>
        <w:t xml:space="preserve">, saying that requirement is applicable when the corresponding requirement for two antenna port in </w:t>
      </w:r>
      <w:r w:rsidRPr="00AF4842">
        <w:rPr>
          <w:rFonts w:eastAsiaTheme="minorEastAsia"/>
          <w:b/>
          <w:bCs/>
          <w:sz w:val="21"/>
          <w:szCs w:val="21"/>
          <w:lang w:val="en-US" w:eastAsia="zh-CN"/>
        </w:rPr>
        <w:t>Table 7.3.2-1a</w:t>
      </w:r>
      <w:r>
        <w:rPr>
          <w:rFonts w:eastAsiaTheme="minorEastAsia"/>
          <w:b/>
          <w:bCs/>
          <w:sz w:val="21"/>
          <w:szCs w:val="21"/>
          <w:lang w:val="en-US" w:eastAsia="zh-CN"/>
        </w:rPr>
        <w:t xml:space="preserve"> is larger than </w:t>
      </w:r>
      <w:r w:rsidR="00AF2C2A">
        <w:rPr>
          <w:rFonts w:eastAsiaTheme="minorEastAsia"/>
          <w:b/>
          <w:bCs/>
          <w:sz w:val="21"/>
          <w:szCs w:val="21"/>
          <w:lang w:val="en-US" w:eastAsia="zh-CN"/>
        </w:rPr>
        <w:t>89.5</w:t>
      </w:r>
      <w:r>
        <w:rPr>
          <w:rFonts w:eastAsiaTheme="minorEastAsia"/>
          <w:b/>
          <w:bCs/>
          <w:sz w:val="21"/>
          <w:szCs w:val="21"/>
          <w:lang w:val="en-US" w:eastAsia="zh-CN"/>
        </w:rPr>
        <w:t>dBm</w:t>
      </w:r>
    </w:p>
    <w:p w14:paraId="182423DE" w14:textId="044C6575" w:rsidR="00260612" w:rsidRPr="00957AB7" w:rsidRDefault="000E2107" w:rsidP="00AB4279">
      <w:pPr>
        <w:snapToGrid w:val="0"/>
        <w:spacing w:after="120"/>
        <w:rPr>
          <w:rFonts w:eastAsiaTheme="minorEastAsia"/>
          <w:sz w:val="21"/>
          <w:szCs w:val="21"/>
          <w:lang w:val="en-US" w:eastAsia="zh-CN"/>
        </w:rPr>
      </w:pPr>
      <w:r>
        <w:rPr>
          <w:rFonts w:eastAsiaTheme="minorEastAsia"/>
          <w:sz w:val="21"/>
          <w:szCs w:val="21"/>
          <w:lang w:val="en-US" w:eastAsia="zh-CN"/>
        </w:rPr>
        <w:t xml:space="preserve">For PC2 RedCap UE, </w:t>
      </w:r>
      <w:r w:rsidR="002D7184">
        <w:rPr>
          <w:rFonts w:eastAsiaTheme="minorEastAsia"/>
          <w:sz w:val="21"/>
          <w:szCs w:val="21"/>
          <w:lang w:val="en-US" w:eastAsia="zh-CN"/>
        </w:rPr>
        <w:t>when the self-interference is not severe</w:t>
      </w:r>
      <w:r w:rsidR="00957AB7">
        <w:rPr>
          <w:rFonts w:eastAsiaTheme="minorEastAsia"/>
          <w:sz w:val="21"/>
          <w:szCs w:val="21"/>
          <w:lang w:val="en-US" w:eastAsia="zh-CN"/>
        </w:rPr>
        <w:t xml:space="preserve"> (in the note 1, we give the value of 89.5dBm REFSENS as the threshold)</w:t>
      </w:r>
      <w:r w:rsidR="002D7184">
        <w:rPr>
          <w:rFonts w:eastAsiaTheme="minorEastAsia"/>
          <w:sz w:val="21"/>
          <w:szCs w:val="21"/>
          <w:lang w:val="en-US" w:eastAsia="zh-CN"/>
        </w:rPr>
        <w:t xml:space="preserve">, as the RSD has been specified, </w:t>
      </w:r>
      <w:r w:rsidR="00957AB7">
        <w:rPr>
          <w:rFonts w:eastAsiaTheme="minorEastAsia"/>
          <w:sz w:val="21"/>
          <w:szCs w:val="21"/>
          <w:lang w:val="en-US" w:eastAsia="zh-CN"/>
        </w:rPr>
        <w:t xml:space="preserve">the </w:t>
      </w:r>
      <w:r w:rsidR="00957AB7" w:rsidRPr="00957AB7">
        <w:rPr>
          <w:sz w:val="21"/>
          <w:szCs w:val="16"/>
        </w:rPr>
        <w:t>ΔR</w:t>
      </w:r>
      <w:r w:rsidR="00957AB7" w:rsidRPr="00957AB7">
        <w:rPr>
          <w:sz w:val="21"/>
          <w:szCs w:val="16"/>
          <w:vertAlign w:val="subscript"/>
        </w:rPr>
        <w:t xml:space="preserve">1R </w:t>
      </w:r>
      <w:r w:rsidR="00957AB7">
        <w:rPr>
          <w:sz w:val="21"/>
          <w:szCs w:val="16"/>
        </w:rPr>
        <w:t xml:space="preserve">can be reused. For the case the self-interference is severe (e.g. Band n8 20MHz CBW), the </w:t>
      </w:r>
      <w:r w:rsidR="00957AB7" w:rsidRPr="00957AB7">
        <w:rPr>
          <w:sz w:val="21"/>
          <w:szCs w:val="16"/>
        </w:rPr>
        <w:t>ΔR</w:t>
      </w:r>
      <w:r w:rsidR="00957AB7" w:rsidRPr="00957AB7">
        <w:rPr>
          <w:sz w:val="21"/>
          <w:szCs w:val="16"/>
          <w:vertAlign w:val="subscript"/>
        </w:rPr>
        <w:t>1R</w:t>
      </w:r>
      <w:r w:rsidR="00957AB7">
        <w:rPr>
          <w:sz w:val="21"/>
          <w:szCs w:val="16"/>
          <w:vertAlign w:val="subscript"/>
        </w:rPr>
        <w:t xml:space="preserve"> </w:t>
      </w:r>
      <w:r w:rsidR="00957AB7">
        <w:rPr>
          <w:sz w:val="21"/>
          <w:szCs w:val="16"/>
        </w:rPr>
        <w:t>may be worsen due to higher transmit power producing larger degradation when removing the diversity antenna.</w:t>
      </w:r>
    </w:p>
    <w:p w14:paraId="266C2902" w14:textId="52CE8D2B" w:rsidR="007225DB" w:rsidRPr="00260612" w:rsidRDefault="00260612" w:rsidP="00AB4279">
      <w:pPr>
        <w:snapToGrid w:val="0"/>
        <w:spacing w:after="120"/>
        <w:rPr>
          <w:rFonts w:eastAsiaTheme="minorEastAsia"/>
          <w:sz w:val="21"/>
          <w:szCs w:val="21"/>
          <w:lang w:val="en-US" w:eastAsia="zh-CN"/>
        </w:rPr>
      </w:pPr>
      <w:r w:rsidRPr="00957AB7">
        <w:rPr>
          <w:rFonts w:eastAsiaTheme="minorEastAsia" w:hint="eastAsia"/>
          <w:b/>
          <w:bCs/>
          <w:sz w:val="21"/>
          <w:szCs w:val="21"/>
          <w:lang w:val="en-US" w:eastAsia="zh-CN"/>
        </w:rPr>
        <w:t>P</w:t>
      </w:r>
      <w:r w:rsidRPr="00957AB7">
        <w:rPr>
          <w:rFonts w:eastAsiaTheme="minorEastAsia"/>
          <w:b/>
          <w:bCs/>
          <w:sz w:val="21"/>
          <w:szCs w:val="21"/>
          <w:lang w:val="en-US" w:eastAsia="zh-CN"/>
        </w:rPr>
        <w:t>roposal 2:</w:t>
      </w:r>
      <w:r>
        <w:rPr>
          <w:rFonts w:eastAsiaTheme="minorEastAsia"/>
          <w:sz w:val="21"/>
          <w:szCs w:val="21"/>
          <w:lang w:val="en-US" w:eastAsia="zh-CN"/>
        </w:rPr>
        <w:t xml:space="preserve"> </w:t>
      </w:r>
      <w:r w:rsidR="00957AB7">
        <w:rPr>
          <w:rFonts w:eastAsiaTheme="minorEastAsia"/>
          <w:sz w:val="21"/>
          <w:szCs w:val="21"/>
          <w:lang w:val="en-US" w:eastAsia="zh-CN"/>
        </w:rPr>
        <w:t xml:space="preserve">For PC2 RedCap UE with 1Rx, </w:t>
      </w:r>
      <w:r w:rsidR="00B5044B">
        <w:rPr>
          <w:rFonts w:eastAsiaTheme="minorEastAsia"/>
          <w:sz w:val="21"/>
          <w:szCs w:val="21"/>
          <w:lang w:val="en-US" w:eastAsia="zh-CN"/>
        </w:rPr>
        <w:t>reuse and flat</w:t>
      </w:r>
      <w:r w:rsidR="00957AB7">
        <w:rPr>
          <w:rFonts w:eastAsiaTheme="minorEastAsia"/>
          <w:sz w:val="21"/>
          <w:szCs w:val="21"/>
          <w:lang w:val="en-US" w:eastAsia="zh-CN"/>
        </w:rPr>
        <w:t xml:space="preserve"> </w:t>
      </w:r>
      <w:r w:rsidR="00B5044B">
        <w:rPr>
          <w:rFonts w:eastAsiaTheme="minorEastAsia"/>
          <w:sz w:val="21"/>
          <w:szCs w:val="21"/>
          <w:lang w:val="en-US" w:eastAsia="zh-CN"/>
        </w:rPr>
        <w:t xml:space="preserve">3dB </w:t>
      </w:r>
      <w:r w:rsidR="00957AB7" w:rsidRPr="00957AB7">
        <w:rPr>
          <w:sz w:val="21"/>
          <w:szCs w:val="16"/>
        </w:rPr>
        <w:t>ΔR</w:t>
      </w:r>
      <w:r w:rsidR="00957AB7" w:rsidRPr="00957AB7">
        <w:rPr>
          <w:sz w:val="21"/>
          <w:szCs w:val="16"/>
          <w:vertAlign w:val="subscript"/>
        </w:rPr>
        <w:t>1R</w:t>
      </w:r>
      <w:r w:rsidR="00957AB7">
        <w:rPr>
          <w:sz w:val="21"/>
          <w:szCs w:val="16"/>
        </w:rPr>
        <w:t xml:space="preserve"> when </w:t>
      </w:r>
      <w:r w:rsidR="00957AB7">
        <w:rPr>
          <w:rFonts w:eastAsiaTheme="minorEastAsia"/>
          <w:sz w:val="21"/>
          <w:szCs w:val="21"/>
          <w:lang w:val="en-US" w:eastAsia="zh-CN"/>
        </w:rPr>
        <w:t xml:space="preserve">the band </w:t>
      </w:r>
      <w:bookmarkStart w:id="9" w:name="OLE_LINK6"/>
      <w:r w:rsidR="00957AB7">
        <w:rPr>
          <w:rFonts w:eastAsiaTheme="minorEastAsia"/>
          <w:sz w:val="21"/>
          <w:szCs w:val="21"/>
          <w:lang w:val="en-US" w:eastAsia="zh-CN"/>
        </w:rPr>
        <w:t>self-interference is not severe</w:t>
      </w:r>
      <w:bookmarkEnd w:id="9"/>
      <w:r w:rsidR="00957AB7">
        <w:rPr>
          <w:rFonts w:eastAsiaTheme="minorEastAsia"/>
          <w:sz w:val="21"/>
          <w:szCs w:val="21"/>
          <w:lang w:val="en-US" w:eastAsia="zh-CN"/>
        </w:rPr>
        <w:t>, specify the value when the band</w:t>
      </w:r>
      <w:r w:rsidR="00957AB7" w:rsidRPr="00957AB7">
        <w:rPr>
          <w:rFonts w:eastAsiaTheme="minorEastAsia"/>
          <w:sz w:val="21"/>
          <w:szCs w:val="21"/>
          <w:lang w:val="en-US" w:eastAsia="zh-CN"/>
        </w:rPr>
        <w:t xml:space="preserve"> </w:t>
      </w:r>
      <w:r w:rsidR="00957AB7">
        <w:rPr>
          <w:rFonts w:eastAsiaTheme="minorEastAsia"/>
          <w:sz w:val="21"/>
          <w:szCs w:val="21"/>
          <w:lang w:val="en-US" w:eastAsia="zh-CN"/>
        </w:rPr>
        <w:t>self-interference is severe.</w:t>
      </w:r>
    </w:p>
    <w:p w14:paraId="6C296B5C" w14:textId="77777777" w:rsidR="00957AB7" w:rsidRPr="00F9519C" w:rsidRDefault="00957AB7" w:rsidP="00957AB7">
      <w:pPr>
        <w:pStyle w:val="TH"/>
        <w:keepNext w:val="0"/>
        <w:keepLines w:val="0"/>
        <w:rPr>
          <w:bCs/>
          <w:vertAlign w:val="subscript"/>
        </w:rPr>
      </w:pPr>
      <w:r w:rsidRPr="00F9519C">
        <w:t xml:space="preserve">Table 7.3I.2-1: Single antenna port reference sensitivity allowance </w:t>
      </w:r>
      <w:bookmarkStart w:id="10" w:name="OLE_LINK2"/>
      <w:r w:rsidRPr="00F9519C">
        <w:t>ΔR</w:t>
      </w:r>
      <w:r w:rsidRPr="00F9519C">
        <w:rPr>
          <w:bCs/>
          <w:vertAlign w:val="subscript"/>
        </w:rPr>
        <w:t>1R</w:t>
      </w:r>
      <w:bookmarkEnd w:id="10"/>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2327"/>
        <w:gridCol w:w="2327"/>
        <w:gridCol w:w="2131"/>
      </w:tblGrid>
      <w:tr w:rsidR="00957AB7" w:rsidRPr="00F9519C" w14:paraId="4F5511BC"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tcPr>
          <w:p w14:paraId="0C088D0E" w14:textId="77777777" w:rsidR="00957AB7" w:rsidRPr="00F9519C" w:rsidRDefault="00957AB7" w:rsidP="005E1C9A">
            <w:pPr>
              <w:pStyle w:val="TAH"/>
              <w:keepNext w:val="0"/>
              <w:keepLines w:val="0"/>
            </w:pPr>
            <w:r w:rsidRPr="00F9519C">
              <w:t>Operating band</w:t>
            </w:r>
          </w:p>
        </w:tc>
        <w:tc>
          <w:tcPr>
            <w:tcW w:w="2327" w:type="dxa"/>
            <w:tcBorders>
              <w:top w:val="single" w:sz="4" w:space="0" w:color="auto"/>
              <w:left w:val="single" w:sz="4" w:space="0" w:color="auto"/>
              <w:bottom w:val="single" w:sz="4" w:space="0" w:color="auto"/>
              <w:right w:val="single" w:sz="4" w:space="0" w:color="auto"/>
            </w:tcBorders>
          </w:tcPr>
          <w:p w14:paraId="3F180377" w14:textId="77777777" w:rsidR="00957AB7" w:rsidRPr="00F9519C" w:rsidRDefault="00957AB7" w:rsidP="005E1C9A">
            <w:pPr>
              <w:pStyle w:val="TAH"/>
              <w:keepNext w:val="0"/>
              <w:keepLines w:val="0"/>
              <w:rPr>
                <w:lang w:eastAsia="zh-CN"/>
              </w:rPr>
            </w:pPr>
            <w:r w:rsidRPr="00F9519C">
              <w:t>Channel bandwidth</w:t>
            </w:r>
            <w:r w:rsidRPr="00F9519C">
              <w:rPr>
                <w:rFonts w:hint="eastAsia"/>
                <w:lang w:eastAsia="zh-CN"/>
              </w:rPr>
              <w:t xml:space="preserve"> (MHz)</w:t>
            </w:r>
          </w:p>
        </w:tc>
        <w:tc>
          <w:tcPr>
            <w:tcW w:w="2327" w:type="dxa"/>
            <w:tcBorders>
              <w:top w:val="single" w:sz="4" w:space="0" w:color="auto"/>
              <w:left w:val="single" w:sz="4" w:space="0" w:color="auto"/>
              <w:bottom w:val="single" w:sz="4" w:space="0" w:color="auto"/>
              <w:right w:val="single" w:sz="4" w:space="0" w:color="auto"/>
            </w:tcBorders>
          </w:tcPr>
          <w:p w14:paraId="1749BA9C" w14:textId="77777777" w:rsidR="00957AB7" w:rsidRPr="00F9519C" w:rsidRDefault="00957AB7" w:rsidP="005E1C9A">
            <w:pPr>
              <w:pStyle w:val="TAH"/>
              <w:keepNext w:val="0"/>
              <w:keepLines w:val="0"/>
            </w:pPr>
            <w:r w:rsidRPr="00F9519C">
              <w:t>ΔR</w:t>
            </w:r>
            <w:r w:rsidRPr="00F9519C">
              <w:rPr>
                <w:vertAlign w:val="subscript"/>
              </w:rPr>
              <w:t xml:space="preserve">1R </w:t>
            </w:r>
            <w:r w:rsidRPr="00F9519C">
              <w:t>(dB)</w:t>
            </w:r>
            <w:r>
              <w:t xml:space="preserve"> for PC3</w:t>
            </w:r>
          </w:p>
        </w:tc>
        <w:tc>
          <w:tcPr>
            <w:tcW w:w="2128" w:type="dxa"/>
            <w:tcBorders>
              <w:top w:val="single" w:sz="4" w:space="0" w:color="auto"/>
              <w:left w:val="single" w:sz="4" w:space="0" w:color="auto"/>
              <w:bottom w:val="single" w:sz="4" w:space="0" w:color="auto"/>
              <w:right w:val="single" w:sz="4" w:space="0" w:color="auto"/>
            </w:tcBorders>
          </w:tcPr>
          <w:p w14:paraId="0288A600" w14:textId="77777777" w:rsidR="00957AB7" w:rsidRPr="00F9519C" w:rsidRDefault="00957AB7" w:rsidP="005E1C9A">
            <w:pPr>
              <w:pStyle w:val="TAH"/>
              <w:keepNext w:val="0"/>
              <w:keepLines w:val="0"/>
            </w:pPr>
            <w:bookmarkStart w:id="11" w:name="OLE_LINK5"/>
            <w:r w:rsidRPr="00F9519C">
              <w:t>ΔR</w:t>
            </w:r>
            <w:r w:rsidRPr="00F9519C">
              <w:rPr>
                <w:vertAlign w:val="subscript"/>
              </w:rPr>
              <w:t xml:space="preserve">1R </w:t>
            </w:r>
            <w:bookmarkEnd w:id="11"/>
            <w:r w:rsidRPr="00F9519C">
              <w:t>(dB)</w:t>
            </w:r>
            <w:r>
              <w:t xml:space="preserve"> for PC2</w:t>
            </w:r>
          </w:p>
        </w:tc>
      </w:tr>
      <w:tr w:rsidR="00957AB7" w:rsidRPr="00F9519C" w14:paraId="0A42CFE7"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vAlign w:val="center"/>
          </w:tcPr>
          <w:p w14:paraId="0D963AEF" w14:textId="77777777" w:rsidR="00957AB7" w:rsidRPr="00F9519C" w:rsidRDefault="00957AB7" w:rsidP="005E1C9A">
            <w:pPr>
              <w:pStyle w:val="TAC"/>
              <w:keepNext w:val="0"/>
              <w:keepLines w:val="0"/>
            </w:pPr>
            <w:r w:rsidRPr="00F9519C">
              <w:t xml:space="preserve">TDD band </w:t>
            </w:r>
          </w:p>
        </w:tc>
        <w:tc>
          <w:tcPr>
            <w:tcW w:w="2327" w:type="dxa"/>
            <w:tcBorders>
              <w:top w:val="single" w:sz="4" w:space="0" w:color="auto"/>
              <w:left w:val="single" w:sz="4" w:space="0" w:color="auto"/>
              <w:bottom w:val="single" w:sz="4" w:space="0" w:color="auto"/>
              <w:right w:val="single" w:sz="4" w:space="0" w:color="auto"/>
            </w:tcBorders>
          </w:tcPr>
          <w:p w14:paraId="575FA0F0" w14:textId="77777777" w:rsidR="00957AB7" w:rsidRPr="00F9519C" w:rsidRDefault="00957AB7" w:rsidP="005E1C9A">
            <w:pPr>
              <w:pStyle w:val="TAC"/>
              <w:keepNext w:val="0"/>
              <w:keepLines w:val="0"/>
            </w:pPr>
            <w:r w:rsidRPr="00F9519C">
              <w:t>5, 10, 15</w:t>
            </w:r>
            <w:r w:rsidRPr="00F9519C">
              <w:rPr>
                <w:rFonts w:hint="eastAsia"/>
                <w:lang w:eastAsia="zh-CN"/>
              </w:rPr>
              <w:t>,</w:t>
            </w:r>
            <w:r w:rsidRPr="00F9519C">
              <w:t xml:space="preserve"> 20</w:t>
            </w:r>
          </w:p>
        </w:tc>
        <w:tc>
          <w:tcPr>
            <w:tcW w:w="2327" w:type="dxa"/>
            <w:tcBorders>
              <w:top w:val="single" w:sz="4" w:space="0" w:color="auto"/>
              <w:left w:val="single" w:sz="4" w:space="0" w:color="auto"/>
              <w:bottom w:val="single" w:sz="4" w:space="0" w:color="auto"/>
              <w:right w:val="single" w:sz="4" w:space="0" w:color="auto"/>
            </w:tcBorders>
            <w:vAlign w:val="center"/>
          </w:tcPr>
          <w:p w14:paraId="0AAE0749" w14:textId="77777777" w:rsidR="00957AB7" w:rsidRPr="00F9519C" w:rsidRDefault="00957AB7" w:rsidP="005E1C9A">
            <w:pPr>
              <w:pStyle w:val="TAC"/>
              <w:keepNext w:val="0"/>
              <w:keepLines w:val="0"/>
            </w:pPr>
            <w:r w:rsidRPr="00F9519C">
              <w:t>2.5</w:t>
            </w:r>
          </w:p>
        </w:tc>
        <w:tc>
          <w:tcPr>
            <w:tcW w:w="2128" w:type="dxa"/>
            <w:tcBorders>
              <w:top w:val="single" w:sz="4" w:space="0" w:color="auto"/>
              <w:left w:val="single" w:sz="4" w:space="0" w:color="auto"/>
              <w:bottom w:val="single" w:sz="4" w:space="0" w:color="auto"/>
              <w:right w:val="single" w:sz="4" w:space="0" w:color="auto"/>
            </w:tcBorders>
            <w:vAlign w:val="center"/>
          </w:tcPr>
          <w:p w14:paraId="515A24CE" w14:textId="77777777" w:rsidR="00957AB7" w:rsidRPr="00F9519C" w:rsidRDefault="00957AB7" w:rsidP="005E1C9A">
            <w:pPr>
              <w:pStyle w:val="TAC"/>
              <w:keepNext w:val="0"/>
              <w:keepLines w:val="0"/>
            </w:pPr>
            <w:r w:rsidRPr="00F9519C">
              <w:t>2.5</w:t>
            </w:r>
          </w:p>
        </w:tc>
      </w:tr>
      <w:tr w:rsidR="00957AB7" w:rsidRPr="00F9519C" w14:paraId="1F45BA25" w14:textId="77777777" w:rsidTr="005E1C9A">
        <w:trPr>
          <w:trHeight w:val="306"/>
          <w:jc w:val="center"/>
        </w:trPr>
        <w:tc>
          <w:tcPr>
            <w:tcW w:w="2264" w:type="dxa"/>
            <w:tcBorders>
              <w:top w:val="single" w:sz="4" w:space="0" w:color="auto"/>
              <w:left w:val="single" w:sz="4" w:space="0" w:color="auto"/>
              <w:bottom w:val="single" w:sz="4" w:space="0" w:color="auto"/>
              <w:right w:val="single" w:sz="4" w:space="0" w:color="auto"/>
            </w:tcBorders>
            <w:vAlign w:val="center"/>
          </w:tcPr>
          <w:p w14:paraId="402E74F5" w14:textId="77777777" w:rsidR="00957AB7" w:rsidRPr="00F9519C" w:rsidRDefault="00957AB7" w:rsidP="005E1C9A">
            <w:pPr>
              <w:pStyle w:val="TAC"/>
              <w:keepNext w:val="0"/>
              <w:keepLines w:val="0"/>
            </w:pPr>
            <w:r w:rsidRPr="00F9519C">
              <w:t xml:space="preserve">FDD band </w:t>
            </w:r>
          </w:p>
        </w:tc>
        <w:tc>
          <w:tcPr>
            <w:tcW w:w="2327" w:type="dxa"/>
            <w:tcBorders>
              <w:top w:val="single" w:sz="4" w:space="0" w:color="auto"/>
              <w:left w:val="single" w:sz="4" w:space="0" w:color="auto"/>
              <w:bottom w:val="single" w:sz="4" w:space="0" w:color="auto"/>
              <w:right w:val="single" w:sz="4" w:space="0" w:color="auto"/>
            </w:tcBorders>
          </w:tcPr>
          <w:p w14:paraId="5149C301" w14:textId="77777777" w:rsidR="00957AB7" w:rsidRPr="00F9519C" w:rsidRDefault="00957AB7" w:rsidP="005E1C9A">
            <w:pPr>
              <w:pStyle w:val="TAC"/>
              <w:keepNext w:val="0"/>
              <w:keepLines w:val="0"/>
            </w:pPr>
            <w:r w:rsidRPr="00F9519C">
              <w:t>5</w:t>
            </w:r>
          </w:p>
        </w:tc>
        <w:tc>
          <w:tcPr>
            <w:tcW w:w="2327" w:type="dxa"/>
            <w:tcBorders>
              <w:top w:val="single" w:sz="4" w:space="0" w:color="auto"/>
              <w:left w:val="single" w:sz="4" w:space="0" w:color="auto"/>
              <w:bottom w:val="single" w:sz="4" w:space="0" w:color="auto"/>
              <w:right w:val="single" w:sz="4" w:space="0" w:color="auto"/>
            </w:tcBorders>
            <w:vAlign w:val="center"/>
          </w:tcPr>
          <w:p w14:paraId="15CADBB3" w14:textId="77777777" w:rsidR="00957AB7" w:rsidRPr="00F9519C" w:rsidRDefault="00957AB7" w:rsidP="005E1C9A">
            <w:pPr>
              <w:pStyle w:val="TAC"/>
              <w:keepNext w:val="0"/>
              <w:keepLines w:val="0"/>
            </w:pPr>
            <w:r w:rsidRPr="00F9519C">
              <w:t>2.5</w:t>
            </w:r>
            <w:r w:rsidRPr="00AF2C2A">
              <w:rPr>
                <w:vertAlign w:val="superscript"/>
              </w:rPr>
              <w:t>1</w:t>
            </w:r>
          </w:p>
        </w:tc>
        <w:tc>
          <w:tcPr>
            <w:tcW w:w="2128" w:type="dxa"/>
            <w:tcBorders>
              <w:top w:val="single" w:sz="4" w:space="0" w:color="auto"/>
              <w:left w:val="single" w:sz="4" w:space="0" w:color="auto"/>
              <w:bottom w:val="single" w:sz="4" w:space="0" w:color="auto"/>
              <w:right w:val="single" w:sz="4" w:space="0" w:color="auto"/>
            </w:tcBorders>
            <w:vAlign w:val="center"/>
          </w:tcPr>
          <w:p w14:paraId="225B2FCE" w14:textId="5AE1E670" w:rsidR="00957AB7" w:rsidRPr="00F9519C" w:rsidRDefault="00B5044B" w:rsidP="005E1C9A">
            <w:pPr>
              <w:pStyle w:val="TAC"/>
              <w:keepNext w:val="0"/>
              <w:keepLines w:val="0"/>
            </w:pPr>
            <w:r>
              <w:t>3.0</w:t>
            </w:r>
            <w:r w:rsidR="00957AB7" w:rsidRPr="00AF2C2A">
              <w:rPr>
                <w:vertAlign w:val="superscript"/>
              </w:rPr>
              <w:t>1</w:t>
            </w:r>
          </w:p>
        </w:tc>
      </w:tr>
      <w:tr w:rsidR="00957AB7" w:rsidRPr="00F9519C" w14:paraId="41AF27E0"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vAlign w:val="center"/>
          </w:tcPr>
          <w:p w14:paraId="5102DBC8" w14:textId="77777777" w:rsidR="00957AB7" w:rsidRPr="00F9519C" w:rsidRDefault="00957AB7" w:rsidP="005E1C9A">
            <w:pPr>
              <w:pStyle w:val="TAC"/>
              <w:keepNext w:val="0"/>
              <w:keepLines w:val="0"/>
            </w:pPr>
            <w:r w:rsidRPr="00F9519C">
              <w:t xml:space="preserve">FDD band </w:t>
            </w:r>
          </w:p>
        </w:tc>
        <w:tc>
          <w:tcPr>
            <w:tcW w:w="2327" w:type="dxa"/>
            <w:tcBorders>
              <w:top w:val="single" w:sz="4" w:space="0" w:color="auto"/>
              <w:left w:val="single" w:sz="4" w:space="0" w:color="auto"/>
              <w:bottom w:val="single" w:sz="4" w:space="0" w:color="auto"/>
              <w:right w:val="single" w:sz="4" w:space="0" w:color="auto"/>
            </w:tcBorders>
          </w:tcPr>
          <w:p w14:paraId="75B6664A" w14:textId="77777777" w:rsidR="00957AB7" w:rsidRPr="00F9519C" w:rsidRDefault="00957AB7" w:rsidP="005E1C9A">
            <w:pPr>
              <w:pStyle w:val="TAC"/>
              <w:keepNext w:val="0"/>
              <w:keepLines w:val="0"/>
            </w:pPr>
            <w:r w:rsidRPr="00F9519C">
              <w:t>10, 15</w:t>
            </w:r>
            <w:r w:rsidRPr="00F9519C">
              <w:rPr>
                <w:rFonts w:hint="eastAsia"/>
                <w:lang w:eastAsia="zh-CN"/>
              </w:rPr>
              <w:t>,</w:t>
            </w:r>
            <w:r w:rsidRPr="00F9519C">
              <w:t xml:space="preserve"> 20</w:t>
            </w:r>
          </w:p>
        </w:tc>
        <w:tc>
          <w:tcPr>
            <w:tcW w:w="2327" w:type="dxa"/>
            <w:tcBorders>
              <w:top w:val="single" w:sz="4" w:space="0" w:color="auto"/>
              <w:left w:val="single" w:sz="4" w:space="0" w:color="auto"/>
              <w:bottom w:val="single" w:sz="4" w:space="0" w:color="auto"/>
              <w:right w:val="single" w:sz="4" w:space="0" w:color="auto"/>
            </w:tcBorders>
            <w:vAlign w:val="center"/>
          </w:tcPr>
          <w:p w14:paraId="717F0E87" w14:textId="77777777" w:rsidR="00957AB7" w:rsidRPr="00F9519C" w:rsidRDefault="00957AB7" w:rsidP="005E1C9A">
            <w:pPr>
              <w:pStyle w:val="TAC"/>
              <w:keepNext w:val="0"/>
              <w:keepLines w:val="0"/>
            </w:pPr>
            <w:r w:rsidRPr="00F9519C">
              <w:t>3.0</w:t>
            </w:r>
            <w:r w:rsidRPr="00AF2C2A">
              <w:rPr>
                <w:vertAlign w:val="superscript"/>
              </w:rPr>
              <w:t>1</w:t>
            </w:r>
          </w:p>
        </w:tc>
        <w:tc>
          <w:tcPr>
            <w:tcW w:w="2128" w:type="dxa"/>
            <w:tcBorders>
              <w:top w:val="single" w:sz="4" w:space="0" w:color="auto"/>
              <w:left w:val="single" w:sz="4" w:space="0" w:color="auto"/>
              <w:bottom w:val="single" w:sz="4" w:space="0" w:color="auto"/>
              <w:right w:val="single" w:sz="4" w:space="0" w:color="auto"/>
            </w:tcBorders>
            <w:vAlign w:val="center"/>
          </w:tcPr>
          <w:p w14:paraId="325D55BE" w14:textId="77777777" w:rsidR="00957AB7" w:rsidRPr="00F9519C" w:rsidRDefault="00957AB7" w:rsidP="005E1C9A">
            <w:pPr>
              <w:pStyle w:val="TAC"/>
              <w:keepNext w:val="0"/>
              <w:keepLines w:val="0"/>
            </w:pPr>
            <w:r w:rsidRPr="00F9519C">
              <w:t>3.0</w:t>
            </w:r>
            <w:r w:rsidRPr="00AF2C2A">
              <w:rPr>
                <w:vertAlign w:val="superscript"/>
              </w:rPr>
              <w:t>1</w:t>
            </w:r>
          </w:p>
        </w:tc>
      </w:tr>
      <w:tr w:rsidR="00957AB7" w:rsidRPr="00F9519C" w14:paraId="6237DD76"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vAlign w:val="center"/>
          </w:tcPr>
          <w:p w14:paraId="77998BA5" w14:textId="77777777" w:rsidR="00957AB7" w:rsidRPr="00F9519C" w:rsidRDefault="00957AB7" w:rsidP="005E1C9A">
            <w:pPr>
              <w:pStyle w:val="TAC"/>
              <w:keepNext w:val="0"/>
              <w:keepLines w:val="0"/>
              <w:rPr>
                <w:lang w:eastAsia="zh-CN"/>
              </w:rPr>
            </w:pPr>
            <w:r>
              <w:rPr>
                <w:rFonts w:hint="eastAsia"/>
                <w:lang w:eastAsia="zh-CN"/>
              </w:rPr>
              <w:t>B</w:t>
            </w:r>
            <w:r>
              <w:rPr>
                <w:lang w:eastAsia="zh-CN"/>
              </w:rPr>
              <w:t>and n8</w:t>
            </w:r>
          </w:p>
        </w:tc>
        <w:tc>
          <w:tcPr>
            <w:tcW w:w="2327" w:type="dxa"/>
            <w:tcBorders>
              <w:top w:val="single" w:sz="4" w:space="0" w:color="auto"/>
              <w:left w:val="single" w:sz="4" w:space="0" w:color="auto"/>
              <w:bottom w:val="single" w:sz="4" w:space="0" w:color="auto"/>
              <w:right w:val="single" w:sz="4" w:space="0" w:color="auto"/>
            </w:tcBorders>
          </w:tcPr>
          <w:p w14:paraId="588F3FE3" w14:textId="77777777" w:rsidR="00957AB7" w:rsidRPr="00F9519C" w:rsidRDefault="00957AB7" w:rsidP="005E1C9A">
            <w:pPr>
              <w:pStyle w:val="TAC"/>
              <w:keepNext w:val="0"/>
              <w:keepLines w:val="0"/>
              <w:rPr>
                <w:lang w:eastAsia="zh-CN"/>
              </w:rPr>
            </w:pPr>
            <w:r>
              <w:rPr>
                <w:rFonts w:hint="eastAsia"/>
                <w:lang w:eastAsia="zh-CN"/>
              </w:rPr>
              <w:t>2</w:t>
            </w:r>
            <w:r>
              <w:rPr>
                <w:lang w:eastAsia="zh-CN"/>
              </w:rPr>
              <w:t>0</w:t>
            </w:r>
          </w:p>
        </w:tc>
        <w:tc>
          <w:tcPr>
            <w:tcW w:w="2327" w:type="dxa"/>
            <w:tcBorders>
              <w:top w:val="single" w:sz="4" w:space="0" w:color="auto"/>
              <w:left w:val="single" w:sz="4" w:space="0" w:color="auto"/>
              <w:bottom w:val="single" w:sz="4" w:space="0" w:color="auto"/>
              <w:right w:val="single" w:sz="4" w:space="0" w:color="auto"/>
            </w:tcBorders>
            <w:vAlign w:val="center"/>
          </w:tcPr>
          <w:p w14:paraId="0A92C68D" w14:textId="77777777" w:rsidR="00957AB7" w:rsidRPr="00F9519C" w:rsidRDefault="00957AB7" w:rsidP="005E1C9A">
            <w:pPr>
              <w:pStyle w:val="TAC"/>
              <w:keepNext w:val="0"/>
              <w:keepLines w:val="0"/>
              <w:rPr>
                <w:lang w:eastAsia="zh-CN"/>
              </w:rPr>
            </w:pPr>
            <w:r>
              <w:rPr>
                <w:rFonts w:hint="eastAsia"/>
                <w:lang w:eastAsia="zh-CN"/>
              </w:rPr>
              <w:t>T</w:t>
            </w:r>
            <w:r>
              <w:rPr>
                <w:lang w:eastAsia="zh-CN"/>
              </w:rPr>
              <w:t>BD</w:t>
            </w:r>
          </w:p>
        </w:tc>
        <w:tc>
          <w:tcPr>
            <w:tcW w:w="2128" w:type="dxa"/>
            <w:tcBorders>
              <w:top w:val="single" w:sz="4" w:space="0" w:color="auto"/>
              <w:left w:val="single" w:sz="4" w:space="0" w:color="auto"/>
              <w:bottom w:val="single" w:sz="4" w:space="0" w:color="auto"/>
              <w:right w:val="single" w:sz="4" w:space="0" w:color="auto"/>
            </w:tcBorders>
          </w:tcPr>
          <w:p w14:paraId="3BD7D5F5" w14:textId="77777777" w:rsidR="00957AB7" w:rsidRDefault="00957AB7" w:rsidP="005E1C9A">
            <w:pPr>
              <w:pStyle w:val="TAC"/>
              <w:keepNext w:val="0"/>
              <w:keepLines w:val="0"/>
              <w:rPr>
                <w:lang w:eastAsia="zh-CN"/>
              </w:rPr>
            </w:pPr>
            <w:r>
              <w:rPr>
                <w:rFonts w:hint="eastAsia"/>
                <w:lang w:eastAsia="zh-CN"/>
              </w:rPr>
              <w:t>T</w:t>
            </w:r>
            <w:r>
              <w:rPr>
                <w:lang w:eastAsia="zh-CN"/>
              </w:rPr>
              <w:t>BD</w:t>
            </w:r>
          </w:p>
        </w:tc>
      </w:tr>
      <w:tr w:rsidR="00957AB7" w:rsidRPr="00F9519C" w14:paraId="3EA56535" w14:textId="77777777" w:rsidTr="005E1C9A">
        <w:trPr>
          <w:trHeight w:val="296"/>
          <w:jc w:val="center"/>
        </w:trPr>
        <w:tc>
          <w:tcPr>
            <w:tcW w:w="9049" w:type="dxa"/>
            <w:gridSpan w:val="4"/>
            <w:tcBorders>
              <w:top w:val="single" w:sz="4" w:space="0" w:color="auto"/>
              <w:left w:val="single" w:sz="4" w:space="0" w:color="auto"/>
              <w:bottom w:val="single" w:sz="4" w:space="0" w:color="auto"/>
              <w:right w:val="single" w:sz="4" w:space="0" w:color="auto"/>
            </w:tcBorders>
            <w:vAlign w:val="center"/>
          </w:tcPr>
          <w:p w14:paraId="1437E052" w14:textId="77777777" w:rsidR="00957AB7" w:rsidRDefault="00957AB7" w:rsidP="005E1C9A">
            <w:pPr>
              <w:pStyle w:val="TAC"/>
              <w:keepNext w:val="0"/>
              <w:keepLines w:val="0"/>
              <w:jc w:val="left"/>
              <w:rPr>
                <w:lang w:eastAsia="zh-CN"/>
              </w:rPr>
            </w:pPr>
            <w:r>
              <w:rPr>
                <w:rFonts w:hint="eastAsia"/>
                <w:lang w:eastAsia="zh-CN"/>
              </w:rPr>
              <w:t>N</w:t>
            </w:r>
            <w:r>
              <w:rPr>
                <w:lang w:eastAsia="zh-CN"/>
              </w:rPr>
              <w:t>ote 1: A</w:t>
            </w:r>
            <w:r w:rsidRPr="00AF2C2A">
              <w:rPr>
                <w:lang w:eastAsia="zh-CN"/>
              </w:rPr>
              <w:t xml:space="preserve">pplicable </w:t>
            </w:r>
            <w:r>
              <w:rPr>
                <w:lang w:eastAsia="zh-CN"/>
              </w:rPr>
              <w:t>for</w:t>
            </w:r>
            <w:r w:rsidRPr="00AF2C2A">
              <w:rPr>
                <w:lang w:eastAsia="zh-CN"/>
              </w:rPr>
              <w:t xml:space="preserve"> the </w:t>
            </w:r>
            <w:r>
              <w:rPr>
                <w:lang w:eastAsia="zh-CN"/>
              </w:rPr>
              <w:t xml:space="preserve">REFSENS </w:t>
            </w:r>
            <w:r w:rsidRPr="00AF2C2A">
              <w:rPr>
                <w:lang w:eastAsia="zh-CN"/>
              </w:rPr>
              <w:t>requirement for two antenna port in Table 7.3.2-1a is larger than 89.5dBm</w:t>
            </w:r>
          </w:p>
        </w:tc>
      </w:tr>
    </w:tbl>
    <w:p w14:paraId="1F6D9F73" w14:textId="72626BF9" w:rsidR="00AB4279" w:rsidRPr="00957AB7" w:rsidRDefault="00AB4279" w:rsidP="00140142">
      <w:pPr>
        <w:snapToGrid w:val="0"/>
        <w:spacing w:after="120"/>
        <w:rPr>
          <w:rFonts w:eastAsiaTheme="minorEastAsia"/>
          <w:b/>
          <w:bCs/>
          <w:sz w:val="21"/>
          <w:szCs w:val="21"/>
          <w:u w:val="single"/>
          <w:lang w:eastAsia="zh-CN"/>
        </w:rPr>
      </w:pPr>
    </w:p>
    <w:bookmarkEnd w:id="5"/>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6A287DAA"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discuss</w:t>
      </w:r>
      <w:r w:rsidR="00284D7E" w:rsidRPr="003A78B9">
        <w:rPr>
          <w:rFonts w:eastAsia="宋体" w:hint="eastAsia"/>
          <w:sz w:val="21"/>
          <w:szCs w:val="21"/>
          <w:lang w:eastAsia="zh-CN"/>
        </w:rPr>
        <w:t xml:space="preserve"> </w:t>
      </w:r>
      <w:r w:rsidR="00284D7E">
        <w:rPr>
          <w:rFonts w:eastAsia="宋体"/>
          <w:sz w:val="21"/>
          <w:szCs w:val="21"/>
          <w:lang w:eastAsia="zh-CN"/>
        </w:rPr>
        <w:t xml:space="preserve">the </w:t>
      </w:r>
      <w:r w:rsidR="00B7106F">
        <w:rPr>
          <w:rFonts w:eastAsia="宋体"/>
          <w:sz w:val="21"/>
          <w:szCs w:val="21"/>
          <w:lang w:eastAsia="zh-CN"/>
        </w:rPr>
        <w:t>REFSENS</w:t>
      </w:r>
      <w:r w:rsidR="00284D7E">
        <w:rPr>
          <w:rFonts w:eastAsia="宋体"/>
          <w:sz w:val="21"/>
          <w:szCs w:val="21"/>
          <w:lang w:eastAsia="zh-CN"/>
        </w:rPr>
        <w:t xml:space="preserve"> for PC2 RedCap</w:t>
      </w:r>
      <w:r w:rsidR="00B7106F">
        <w:rPr>
          <w:rFonts w:eastAsia="宋体"/>
          <w:sz w:val="21"/>
          <w:szCs w:val="21"/>
          <w:lang w:eastAsia="zh-CN"/>
        </w:rPr>
        <w:t xml:space="preserve"> with 1Rx</w:t>
      </w:r>
      <w:r w:rsidR="00284D7E">
        <w:rPr>
          <w:rFonts w:eastAsia="宋体"/>
          <w:sz w:val="21"/>
          <w:szCs w:val="21"/>
          <w:lang w:eastAsia="zh-CN"/>
        </w:rPr>
        <w:t xml:space="preserve"> in FDD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w:t>
      </w:r>
      <w:r w:rsidR="00957AB7">
        <w:rPr>
          <w:rFonts w:eastAsia="宋体"/>
          <w:sz w:val="21"/>
          <w:szCs w:val="21"/>
          <w:lang w:eastAsia="zh-CN"/>
        </w:rPr>
        <w:t>s</w:t>
      </w:r>
      <w:r>
        <w:rPr>
          <w:rFonts w:eastAsia="宋体" w:hint="eastAsia"/>
          <w:sz w:val="21"/>
          <w:szCs w:val="21"/>
          <w:lang w:eastAsia="zh-CN"/>
        </w:rPr>
        <w:t>:</w:t>
      </w:r>
    </w:p>
    <w:p w14:paraId="19D9D2A2" w14:textId="77777777" w:rsidR="00957AB7" w:rsidRPr="009E436F" w:rsidRDefault="00957AB7" w:rsidP="00957AB7">
      <w:pPr>
        <w:snapToGrid w:val="0"/>
        <w:spacing w:after="120"/>
        <w:rPr>
          <w:rFonts w:eastAsiaTheme="minorEastAsia"/>
          <w:sz w:val="21"/>
          <w:szCs w:val="21"/>
          <w:lang w:val="en-US" w:eastAsia="zh-CN"/>
        </w:rPr>
      </w:pPr>
      <w:r w:rsidRPr="00260612">
        <w:rPr>
          <w:rFonts w:eastAsiaTheme="minorEastAsia" w:hint="eastAsia"/>
          <w:b/>
          <w:bCs/>
          <w:sz w:val="21"/>
          <w:szCs w:val="21"/>
          <w:lang w:val="en-US" w:eastAsia="zh-CN"/>
        </w:rPr>
        <w:t>Observation</w:t>
      </w:r>
      <w:r w:rsidRPr="00260612">
        <w:rPr>
          <w:rFonts w:eastAsiaTheme="minorEastAsia"/>
          <w:b/>
          <w:bCs/>
          <w:sz w:val="21"/>
          <w:szCs w:val="21"/>
          <w:lang w:val="en-US" w:eastAsia="zh-CN"/>
        </w:rPr>
        <w:t xml:space="preserve"> 1:</w:t>
      </w:r>
      <w:r>
        <w:rPr>
          <w:rFonts w:eastAsiaTheme="minorEastAsia"/>
          <w:sz w:val="21"/>
          <w:szCs w:val="21"/>
          <w:lang w:val="en-US" w:eastAsia="zh-CN"/>
        </w:rPr>
        <w:t xml:space="preserve"> </w:t>
      </w:r>
      <w:r>
        <w:rPr>
          <w:bCs/>
          <w:sz w:val="20"/>
          <w:szCs w:val="15"/>
        </w:rPr>
        <w:t xml:space="preserve">It is reasonable to limit the application condition for the </w:t>
      </w:r>
      <w:r w:rsidRPr="007B354B">
        <w:rPr>
          <w:sz w:val="20"/>
          <w:szCs w:val="15"/>
        </w:rPr>
        <w:t>ΔR</w:t>
      </w:r>
      <w:r w:rsidRPr="007B354B">
        <w:rPr>
          <w:bCs/>
          <w:sz w:val="20"/>
          <w:szCs w:val="15"/>
          <w:vertAlign w:val="subscript"/>
        </w:rPr>
        <w:t>1R</w:t>
      </w:r>
      <w:r>
        <w:rPr>
          <w:bCs/>
          <w:sz w:val="20"/>
          <w:szCs w:val="15"/>
        </w:rPr>
        <w:t xml:space="preserve"> in </w:t>
      </w:r>
      <w:r w:rsidRPr="009E436F">
        <w:rPr>
          <w:bCs/>
          <w:sz w:val="20"/>
          <w:szCs w:val="15"/>
        </w:rPr>
        <w:t>Table 7.3I.2-1</w:t>
      </w:r>
      <w:r>
        <w:rPr>
          <w:bCs/>
          <w:sz w:val="20"/>
          <w:szCs w:val="15"/>
        </w:rPr>
        <w:t xml:space="preserve"> for PC3 RedCap UE.</w:t>
      </w:r>
    </w:p>
    <w:p w14:paraId="5472532A" w14:textId="77777777" w:rsidR="00957AB7" w:rsidRPr="009E436F" w:rsidRDefault="00957AB7" w:rsidP="00957AB7">
      <w:pPr>
        <w:snapToGrid w:val="0"/>
        <w:spacing w:after="120"/>
        <w:rPr>
          <w:rFonts w:eastAsiaTheme="minorEastAsia"/>
          <w:sz w:val="21"/>
          <w:szCs w:val="21"/>
          <w:lang w:val="en-US" w:eastAsia="zh-CN"/>
        </w:rPr>
      </w:pPr>
      <w:r w:rsidRPr="00260612">
        <w:rPr>
          <w:rFonts w:eastAsiaTheme="minorEastAsia" w:hint="eastAsia"/>
          <w:b/>
          <w:bCs/>
          <w:sz w:val="21"/>
          <w:szCs w:val="21"/>
          <w:lang w:val="en-US" w:eastAsia="zh-CN"/>
        </w:rPr>
        <w:t>Observation</w:t>
      </w:r>
      <w:r w:rsidRPr="00260612">
        <w:rPr>
          <w:rFonts w:eastAsiaTheme="minorEastAsia"/>
          <w:b/>
          <w:bCs/>
          <w:sz w:val="21"/>
          <w:szCs w:val="21"/>
          <w:lang w:val="en-US" w:eastAsia="zh-CN"/>
        </w:rPr>
        <w:t xml:space="preserve"> </w:t>
      </w:r>
      <w:r>
        <w:rPr>
          <w:rFonts w:eastAsiaTheme="minorEastAsia"/>
          <w:b/>
          <w:bCs/>
          <w:sz w:val="21"/>
          <w:szCs w:val="21"/>
          <w:lang w:val="en-US" w:eastAsia="zh-CN"/>
        </w:rPr>
        <w:t>2</w:t>
      </w:r>
      <w:r w:rsidRPr="00260612">
        <w:rPr>
          <w:rFonts w:eastAsiaTheme="minorEastAsia"/>
          <w:b/>
          <w:bCs/>
          <w:sz w:val="21"/>
          <w:szCs w:val="21"/>
          <w:lang w:val="en-US" w:eastAsia="zh-CN"/>
        </w:rPr>
        <w:t>:</w:t>
      </w:r>
      <w:r>
        <w:rPr>
          <w:rFonts w:eastAsiaTheme="minorEastAsia"/>
          <w:sz w:val="21"/>
          <w:szCs w:val="21"/>
          <w:lang w:val="en-US" w:eastAsia="zh-CN"/>
        </w:rPr>
        <w:t xml:space="preserve"> </w:t>
      </w:r>
      <w:r>
        <w:rPr>
          <w:bCs/>
          <w:sz w:val="20"/>
          <w:szCs w:val="15"/>
        </w:rPr>
        <w:t xml:space="preserve">The application condition for the </w:t>
      </w:r>
      <w:r w:rsidRPr="007B354B">
        <w:rPr>
          <w:sz w:val="20"/>
          <w:szCs w:val="15"/>
        </w:rPr>
        <w:t>ΔR</w:t>
      </w:r>
      <w:r w:rsidRPr="007B354B">
        <w:rPr>
          <w:bCs/>
          <w:sz w:val="20"/>
          <w:szCs w:val="15"/>
          <w:vertAlign w:val="subscript"/>
        </w:rPr>
        <w:t>1R</w:t>
      </w:r>
      <w:r>
        <w:rPr>
          <w:bCs/>
          <w:sz w:val="20"/>
          <w:szCs w:val="15"/>
        </w:rPr>
        <w:t xml:space="preserve"> in </w:t>
      </w:r>
      <w:r w:rsidRPr="009E436F">
        <w:rPr>
          <w:bCs/>
          <w:sz w:val="20"/>
          <w:szCs w:val="15"/>
        </w:rPr>
        <w:t>Table 7.3I.2-1</w:t>
      </w:r>
      <w:r>
        <w:rPr>
          <w:bCs/>
          <w:sz w:val="20"/>
          <w:szCs w:val="15"/>
        </w:rPr>
        <w:t xml:space="preserve"> for PC3 RedCap UE can be decided by REFSENS </w:t>
      </w:r>
      <w:r w:rsidRPr="00260612">
        <w:rPr>
          <w:bCs/>
          <w:sz w:val="20"/>
          <w:szCs w:val="15"/>
        </w:rPr>
        <w:t>two antenna port</w:t>
      </w:r>
      <w:r>
        <w:rPr>
          <w:bCs/>
          <w:sz w:val="20"/>
          <w:szCs w:val="15"/>
        </w:rPr>
        <w:t xml:space="preserve">. </w:t>
      </w:r>
    </w:p>
    <w:p w14:paraId="548D88C4" w14:textId="77777777" w:rsidR="0082642F" w:rsidRDefault="0082642F" w:rsidP="0082642F">
      <w:pPr>
        <w:snapToGrid w:val="0"/>
        <w:spacing w:after="120"/>
        <w:rPr>
          <w:rFonts w:eastAsiaTheme="minorEastAsia"/>
          <w:sz w:val="21"/>
          <w:szCs w:val="21"/>
          <w:lang w:val="en-US" w:eastAsia="zh-CN"/>
        </w:rPr>
      </w:pPr>
      <w:r w:rsidRPr="00AF4842">
        <w:rPr>
          <w:rFonts w:eastAsiaTheme="minorEastAsia"/>
          <w:b/>
          <w:bCs/>
          <w:sz w:val="21"/>
          <w:szCs w:val="21"/>
          <w:lang w:val="en-US" w:eastAsia="zh-CN"/>
        </w:rPr>
        <w:t xml:space="preserve">Observation </w:t>
      </w:r>
      <w:r>
        <w:rPr>
          <w:rFonts w:eastAsiaTheme="minorEastAsia"/>
          <w:b/>
          <w:bCs/>
          <w:sz w:val="21"/>
          <w:szCs w:val="21"/>
          <w:lang w:val="en-US" w:eastAsia="zh-CN"/>
        </w:rPr>
        <w:t>3</w:t>
      </w:r>
      <w:r w:rsidRPr="00AF4842">
        <w:rPr>
          <w:rFonts w:eastAsiaTheme="minorEastAsia"/>
          <w:b/>
          <w:bCs/>
          <w:sz w:val="21"/>
          <w:szCs w:val="21"/>
          <w:lang w:val="en-US" w:eastAsia="zh-CN"/>
        </w:rPr>
        <w:t xml:space="preserve">: </w:t>
      </w:r>
      <w:r>
        <w:rPr>
          <w:rFonts w:eastAsiaTheme="minorEastAsia"/>
          <w:sz w:val="21"/>
          <w:szCs w:val="21"/>
          <w:lang w:val="en-US" w:eastAsia="zh-CN"/>
        </w:rPr>
        <w:t>At least when the REFSENS for normal UE with 2</w:t>
      </w:r>
      <w:r>
        <w:rPr>
          <w:rFonts w:eastAsiaTheme="minorEastAsia" w:hint="eastAsia"/>
          <w:sz w:val="21"/>
          <w:szCs w:val="21"/>
          <w:lang w:val="en-US" w:eastAsia="zh-CN"/>
        </w:rPr>
        <w:t>Rx</w:t>
      </w:r>
      <w:r>
        <w:rPr>
          <w:rFonts w:eastAsiaTheme="minorEastAsia"/>
          <w:sz w:val="21"/>
          <w:szCs w:val="21"/>
          <w:lang w:val="en-US" w:eastAsia="zh-CN"/>
        </w:rPr>
        <w:t xml:space="preserve"> is larger than 89.5dBm, the </w:t>
      </w:r>
      <w:r w:rsidRPr="00AF4842">
        <w:rPr>
          <w:sz w:val="21"/>
          <w:szCs w:val="16"/>
        </w:rPr>
        <w:t>ΔR</w:t>
      </w:r>
      <w:r w:rsidRPr="00AF4842">
        <w:rPr>
          <w:sz w:val="21"/>
          <w:szCs w:val="16"/>
          <w:vertAlign w:val="subscript"/>
        </w:rPr>
        <w:t>1R</w:t>
      </w:r>
      <w:r>
        <w:rPr>
          <w:rFonts w:eastAsiaTheme="minorEastAsia"/>
          <w:sz w:val="21"/>
          <w:szCs w:val="21"/>
          <w:lang w:val="en-US" w:eastAsia="zh-CN"/>
        </w:rPr>
        <w:t xml:space="preserve"> values can be kept as 2.5 or 3dB for LTE category 0 or RedCap UE with 1</w:t>
      </w:r>
      <w:r>
        <w:rPr>
          <w:rFonts w:eastAsiaTheme="minorEastAsia" w:hint="eastAsia"/>
          <w:sz w:val="21"/>
          <w:szCs w:val="21"/>
          <w:lang w:val="en-US" w:eastAsia="zh-CN"/>
        </w:rPr>
        <w:t>Rx</w:t>
      </w:r>
    </w:p>
    <w:p w14:paraId="16BEF088" w14:textId="77777777" w:rsidR="0082642F" w:rsidRPr="00AF4842" w:rsidRDefault="0082642F" w:rsidP="0082642F">
      <w:pPr>
        <w:snapToGrid w:val="0"/>
        <w:spacing w:after="120"/>
        <w:rPr>
          <w:rFonts w:eastAsiaTheme="minorEastAsia"/>
          <w:b/>
          <w:bCs/>
          <w:sz w:val="21"/>
          <w:szCs w:val="21"/>
          <w:lang w:val="en-US" w:eastAsia="zh-CN"/>
        </w:rPr>
      </w:pPr>
      <w:r w:rsidRPr="00AF4842">
        <w:rPr>
          <w:rFonts w:eastAsiaTheme="minorEastAsia" w:hint="eastAsia"/>
          <w:b/>
          <w:bCs/>
          <w:sz w:val="21"/>
          <w:szCs w:val="21"/>
          <w:lang w:val="en-US" w:eastAsia="zh-CN"/>
        </w:rPr>
        <w:t>P</w:t>
      </w:r>
      <w:r w:rsidRPr="00AF4842">
        <w:rPr>
          <w:rFonts w:eastAsiaTheme="minorEastAsia"/>
          <w:b/>
          <w:bCs/>
          <w:sz w:val="21"/>
          <w:szCs w:val="21"/>
          <w:lang w:val="en-US" w:eastAsia="zh-CN"/>
        </w:rPr>
        <w:t xml:space="preserve">roposal 1: </w:t>
      </w:r>
      <w:r w:rsidRPr="0082642F">
        <w:rPr>
          <w:rFonts w:eastAsiaTheme="minorEastAsia"/>
          <w:sz w:val="21"/>
          <w:szCs w:val="21"/>
          <w:lang w:val="en-US" w:eastAsia="zh-CN"/>
        </w:rPr>
        <w:t>Add a note to the Table 7.3I.2-1, saying that requirement is applicable when the corresponding requirement for two antenna port in Table 7.3.2-1a is larger than 89.5dBm</w:t>
      </w:r>
    </w:p>
    <w:p w14:paraId="6C5E38DF" w14:textId="2A7E10AB" w:rsidR="0082642F" w:rsidRPr="00260612" w:rsidRDefault="0082642F" w:rsidP="0082642F">
      <w:pPr>
        <w:snapToGrid w:val="0"/>
        <w:spacing w:after="120"/>
        <w:rPr>
          <w:rFonts w:eastAsiaTheme="minorEastAsia"/>
          <w:sz w:val="21"/>
          <w:szCs w:val="21"/>
          <w:lang w:val="en-US" w:eastAsia="zh-CN"/>
        </w:rPr>
      </w:pPr>
      <w:r w:rsidRPr="00957AB7">
        <w:rPr>
          <w:rFonts w:eastAsiaTheme="minorEastAsia" w:hint="eastAsia"/>
          <w:b/>
          <w:bCs/>
          <w:sz w:val="21"/>
          <w:szCs w:val="21"/>
          <w:lang w:val="en-US" w:eastAsia="zh-CN"/>
        </w:rPr>
        <w:t>P</w:t>
      </w:r>
      <w:r w:rsidRPr="00957AB7">
        <w:rPr>
          <w:rFonts w:eastAsiaTheme="minorEastAsia"/>
          <w:b/>
          <w:bCs/>
          <w:sz w:val="21"/>
          <w:szCs w:val="21"/>
          <w:lang w:val="en-US" w:eastAsia="zh-CN"/>
        </w:rPr>
        <w:t>roposal 2:</w:t>
      </w:r>
      <w:r>
        <w:rPr>
          <w:rFonts w:eastAsiaTheme="minorEastAsia"/>
          <w:sz w:val="21"/>
          <w:szCs w:val="21"/>
          <w:lang w:val="en-US" w:eastAsia="zh-CN"/>
        </w:rPr>
        <w:t xml:space="preserve"> For PC2 RedCap UE with 1Rx, reuse</w:t>
      </w:r>
      <w:r w:rsidR="00B5044B">
        <w:rPr>
          <w:rFonts w:eastAsiaTheme="minorEastAsia"/>
          <w:sz w:val="21"/>
          <w:szCs w:val="21"/>
          <w:lang w:val="en-US" w:eastAsia="zh-CN"/>
        </w:rPr>
        <w:t xml:space="preserve"> and flat</w:t>
      </w:r>
      <w:r>
        <w:rPr>
          <w:rFonts w:eastAsiaTheme="minorEastAsia"/>
          <w:sz w:val="21"/>
          <w:szCs w:val="21"/>
          <w:lang w:val="en-US" w:eastAsia="zh-CN"/>
        </w:rPr>
        <w:t xml:space="preserve"> </w:t>
      </w:r>
      <w:r w:rsidR="00BF6010">
        <w:rPr>
          <w:rFonts w:eastAsiaTheme="minorEastAsia"/>
          <w:sz w:val="21"/>
          <w:szCs w:val="21"/>
          <w:lang w:val="en-US" w:eastAsia="zh-CN"/>
        </w:rPr>
        <w:t xml:space="preserve">3dB </w:t>
      </w:r>
      <w:r w:rsidRPr="00957AB7">
        <w:rPr>
          <w:sz w:val="21"/>
          <w:szCs w:val="16"/>
        </w:rPr>
        <w:t>ΔR</w:t>
      </w:r>
      <w:r w:rsidRPr="00957AB7">
        <w:rPr>
          <w:sz w:val="21"/>
          <w:szCs w:val="16"/>
          <w:vertAlign w:val="subscript"/>
        </w:rPr>
        <w:t>1R</w:t>
      </w:r>
      <w:r w:rsidR="00BF6010">
        <w:rPr>
          <w:sz w:val="21"/>
          <w:szCs w:val="16"/>
        </w:rPr>
        <w:t xml:space="preserve"> </w:t>
      </w:r>
      <w:r>
        <w:rPr>
          <w:sz w:val="21"/>
          <w:szCs w:val="16"/>
        </w:rPr>
        <w:t xml:space="preserve">when </w:t>
      </w:r>
      <w:r>
        <w:rPr>
          <w:rFonts w:eastAsiaTheme="minorEastAsia"/>
          <w:sz w:val="21"/>
          <w:szCs w:val="21"/>
          <w:lang w:val="en-US" w:eastAsia="zh-CN"/>
        </w:rPr>
        <w:t>the band self-interference is not severe, specify the value when the band</w:t>
      </w:r>
      <w:r w:rsidRPr="00957AB7">
        <w:rPr>
          <w:rFonts w:eastAsiaTheme="minorEastAsia"/>
          <w:sz w:val="21"/>
          <w:szCs w:val="21"/>
          <w:lang w:val="en-US" w:eastAsia="zh-CN"/>
        </w:rPr>
        <w:t xml:space="preserve"> </w:t>
      </w:r>
      <w:r>
        <w:rPr>
          <w:rFonts w:eastAsiaTheme="minorEastAsia"/>
          <w:sz w:val="21"/>
          <w:szCs w:val="21"/>
          <w:lang w:val="en-US" w:eastAsia="zh-CN"/>
        </w:rPr>
        <w:t>self-interference is severe.</w:t>
      </w:r>
    </w:p>
    <w:p w14:paraId="75B8C23D" w14:textId="77777777" w:rsidR="0082642F" w:rsidRPr="00F9519C" w:rsidRDefault="0082642F" w:rsidP="0082642F">
      <w:pPr>
        <w:pStyle w:val="TH"/>
        <w:keepNext w:val="0"/>
        <w:keepLines w:val="0"/>
        <w:rPr>
          <w:bCs/>
          <w:vertAlign w:val="subscript"/>
        </w:rPr>
      </w:pPr>
      <w:r w:rsidRPr="00F9519C">
        <w:lastRenderedPageBreak/>
        <w:t>Table 7.3I.2-1: Single antenna port reference sensitivity allowance ΔR</w:t>
      </w:r>
      <w:r w:rsidRPr="00F9519C">
        <w:rPr>
          <w:bCs/>
          <w:vertAlign w:val="subscript"/>
        </w:rPr>
        <w:t>1R</w:t>
      </w:r>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2327"/>
        <w:gridCol w:w="2327"/>
        <w:gridCol w:w="2131"/>
      </w:tblGrid>
      <w:tr w:rsidR="0082642F" w:rsidRPr="00F9519C" w14:paraId="1283AC15"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tcPr>
          <w:p w14:paraId="4C00887C" w14:textId="77777777" w:rsidR="0082642F" w:rsidRPr="00F9519C" w:rsidRDefault="0082642F" w:rsidP="005E1C9A">
            <w:pPr>
              <w:pStyle w:val="TAH"/>
              <w:keepNext w:val="0"/>
              <w:keepLines w:val="0"/>
            </w:pPr>
            <w:r w:rsidRPr="00F9519C">
              <w:t>Operating band</w:t>
            </w:r>
          </w:p>
        </w:tc>
        <w:tc>
          <w:tcPr>
            <w:tcW w:w="2327" w:type="dxa"/>
            <w:tcBorders>
              <w:top w:val="single" w:sz="4" w:space="0" w:color="auto"/>
              <w:left w:val="single" w:sz="4" w:space="0" w:color="auto"/>
              <w:bottom w:val="single" w:sz="4" w:space="0" w:color="auto"/>
              <w:right w:val="single" w:sz="4" w:space="0" w:color="auto"/>
            </w:tcBorders>
          </w:tcPr>
          <w:p w14:paraId="4B80CD4B" w14:textId="77777777" w:rsidR="0082642F" w:rsidRPr="00F9519C" w:rsidRDefault="0082642F" w:rsidP="005E1C9A">
            <w:pPr>
              <w:pStyle w:val="TAH"/>
              <w:keepNext w:val="0"/>
              <w:keepLines w:val="0"/>
              <w:rPr>
                <w:lang w:eastAsia="zh-CN"/>
              </w:rPr>
            </w:pPr>
            <w:r w:rsidRPr="00F9519C">
              <w:t>Channel bandwidth</w:t>
            </w:r>
            <w:r w:rsidRPr="00F9519C">
              <w:rPr>
                <w:rFonts w:hint="eastAsia"/>
                <w:lang w:eastAsia="zh-CN"/>
              </w:rPr>
              <w:t xml:space="preserve"> (MHz)</w:t>
            </w:r>
          </w:p>
        </w:tc>
        <w:tc>
          <w:tcPr>
            <w:tcW w:w="2327" w:type="dxa"/>
            <w:tcBorders>
              <w:top w:val="single" w:sz="4" w:space="0" w:color="auto"/>
              <w:left w:val="single" w:sz="4" w:space="0" w:color="auto"/>
              <w:bottom w:val="single" w:sz="4" w:space="0" w:color="auto"/>
              <w:right w:val="single" w:sz="4" w:space="0" w:color="auto"/>
            </w:tcBorders>
          </w:tcPr>
          <w:p w14:paraId="2750A4B1" w14:textId="77777777" w:rsidR="0082642F" w:rsidRPr="00F9519C" w:rsidRDefault="0082642F" w:rsidP="005E1C9A">
            <w:pPr>
              <w:pStyle w:val="TAH"/>
              <w:keepNext w:val="0"/>
              <w:keepLines w:val="0"/>
            </w:pPr>
            <w:r w:rsidRPr="00F9519C">
              <w:t>ΔR</w:t>
            </w:r>
            <w:r w:rsidRPr="00F9519C">
              <w:rPr>
                <w:vertAlign w:val="subscript"/>
              </w:rPr>
              <w:t xml:space="preserve">1R </w:t>
            </w:r>
            <w:r w:rsidRPr="00F9519C">
              <w:t>(dB)</w:t>
            </w:r>
            <w:r>
              <w:t xml:space="preserve"> for PC3</w:t>
            </w:r>
          </w:p>
        </w:tc>
        <w:tc>
          <w:tcPr>
            <w:tcW w:w="2128" w:type="dxa"/>
            <w:tcBorders>
              <w:top w:val="single" w:sz="4" w:space="0" w:color="auto"/>
              <w:left w:val="single" w:sz="4" w:space="0" w:color="auto"/>
              <w:bottom w:val="single" w:sz="4" w:space="0" w:color="auto"/>
              <w:right w:val="single" w:sz="4" w:space="0" w:color="auto"/>
            </w:tcBorders>
          </w:tcPr>
          <w:p w14:paraId="5BCAEA19" w14:textId="77777777" w:rsidR="0082642F" w:rsidRPr="00F9519C" w:rsidRDefault="0082642F" w:rsidP="005E1C9A">
            <w:pPr>
              <w:pStyle w:val="TAH"/>
              <w:keepNext w:val="0"/>
              <w:keepLines w:val="0"/>
            </w:pPr>
            <w:r w:rsidRPr="00F9519C">
              <w:t>ΔR</w:t>
            </w:r>
            <w:r w:rsidRPr="00F9519C">
              <w:rPr>
                <w:vertAlign w:val="subscript"/>
              </w:rPr>
              <w:t xml:space="preserve">1R </w:t>
            </w:r>
            <w:r w:rsidRPr="00F9519C">
              <w:t>(dB)</w:t>
            </w:r>
            <w:r>
              <w:t xml:space="preserve"> for PC2</w:t>
            </w:r>
          </w:p>
        </w:tc>
      </w:tr>
      <w:tr w:rsidR="0082642F" w:rsidRPr="00F9519C" w14:paraId="22D98B11"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vAlign w:val="center"/>
          </w:tcPr>
          <w:p w14:paraId="606D63CA" w14:textId="77777777" w:rsidR="0082642F" w:rsidRPr="00F9519C" w:rsidRDefault="0082642F" w:rsidP="005E1C9A">
            <w:pPr>
              <w:pStyle w:val="TAC"/>
              <w:keepNext w:val="0"/>
              <w:keepLines w:val="0"/>
            </w:pPr>
            <w:r w:rsidRPr="00F9519C">
              <w:t xml:space="preserve">TDD band </w:t>
            </w:r>
          </w:p>
        </w:tc>
        <w:tc>
          <w:tcPr>
            <w:tcW w:w="2327" w:type="dxa"/>
            <w:tcBorders>
              <w:top w:val="single" w:sz="4" w:space="0" w:color="auto"/>
              <w:left w:val="single" w:sz="4" w:space="0" w:color="auto"/>
              <w:bottom w:val="single" w:sz="4" w:space="0" w:color="auto"/>
              <w:right w:val="single" w:sz="4" w:space="0" w:color="auto"/>
            </w:tcBorders>
          </w:tcPr>
          <w:p w14:paraId="5F9A2522" w14:textId="77777777" w:rsidR="0082642F" w:rsidRPr="00F9519C" w:rsidRDefault="0082642F" w:rsidP="005E1C9A">
            <w:pPr>
              <w:pStyle w:val="TAC"/>
              <w:keepNext w:val="0"/>
              <w:keepLines w:val="0"/>
            </w:pPr>
            <w:r w:rsidRPr="00F9519C">
              <w:t>5, 10, 15</w:t>
            </w:r>
            <w:r w:rsidRPr="00F9519C">
              <w:rPr>
                <w:rFonts w:hint="eastAsia"/>
                <w:lang w:eastAsia="zh-CN"/>
              </w:rPr>
              <w:t>,</w:t>
            </w:r>
            <w:r w:rsidRPr="00F9519C">
              <w:t xml:space="preserve"> 20</w:t>
            </w:r>
          </w:p>
        </w:tc>
        <w:tc>
          <w:tcPr>
            <w:tcW w:w="2327" w:type="dxa"/>
            <w:tcBorders>
              <w:top w:val="single" w:sz="4" w:space="0" w:color="auto"/>
              <w:left w:val="single" w:sz="4" w:space="0" w:color="auto"/>
              <w:bottom w:val="single" w:sz="4" w:space="0" w:color="auto"/>
              <w:right w:val="single" w:sz="4" w:space="0" w:color="auto"/>
            </w:tcBorders>
            <w:vAlign w:val="center"/>
          </w:tcPr>
          <w:p w14:paraId="378F60A5" w14:textId="77777777" w:rsidR="0082642F" w:rsidRPr="00F9519C" w:rsidRDefault="0082642F" w:rsidP="005E1C9A">
            <w:pPr>
              <w:pStyle w:val="TAC"/>
              <w:keepNext w:val="0"/>
              <w:keepLines w:val="0"/>
            </w:pPr>
            <w:r w:rsidRPr="00F9519C">
              <w:t>2.5</w:t>
            </w:r>
          </w:p>
        </w:tc>
        <w:tc>
          <w:tcPr>
            <w:tcW w:w="2128" w:type="dxa"/>
            <w:tcBorders>
              <w:top w:val="single" w:sz="4" w:space="0" w:color="auto"/>
              <w:left w:val="single" w:sz="4" w:space="0" w:color="auto"/>
              <w:bottom w:val="single" w:sz="4" w:space="0" w:color="auto"/>
              <w:right w:val="single" w:sz="4" w:space="0" w:color="auto"/>
            </w:tcBorders>
            <w:vAlign w:val="center"/>
          </w:tcPr>
          <w:p w14:paraId="127B64DF" w14:textId="77777777" w:rsidR="0082642F" w:rsidRPr="00F9519C" w:rsidRDefault="0082642F" w:rsidP="005E1C9A">
            <w:pPr>
              <w:pStyle w:val="TAC"/>
              <w:keepNext w:val="0"/>
              <w:keepLines w:val="0"/>
            </w:pPr>
            <w:r w:rsidRPr="00F9519C">
              <w:t>2.5</w:t>
            </w:r>
          </w:p>
        </w:tc>
      </w:tr>
      <w:tr w:rsidR="0082642F" w:rsidRPr="00F9519C" w14:paraId="21BA780B" w14:textId="77777777" w:rsidTr="005E1C9A">
        <w:trPr>
          <w:trHeight w:val="306"/>
          <w:jc w:val="center"/>
        </w:trPr>
        <w:tc>
          <w:tcPr>
            <w:tcW w:w="2264" w:type="dxa"/>
            <w:tcBorders>
              <w:top w:val="single" w:sz="4" w:space="0" w:color="auto"/>
              <w:left w:val="single" w:sz="4" w:space="0" w:color="auto"/>
              <w:bottom w:val="single" w:sz="4" w:space="0" w:color="auto"/>
              <w:right w:val="single" w:sz="4" w:space="0" w:color="auto"/>
            </w:tcBorders>
            <w:vAlign w:val="center"/>
          </w:tcPr>
          <w:p w14:paraId="0EB8CCAB" w14:textId="77777777" w:rsidR="0082642F" w:rsidRPr="00F9519C" w:rsidRDefault="0082642F" w:rsidP="005E1C9A">
            <w:pPr>
              <w:pStyle w:val="TAC"/>
              <w:keepNext w:val="0"/>
              <w:keepLines w:val="0"/>
            </w:pPr>
            <w:r w:rsidRPr="00F9519C">
              <w:t xml:space="preserve">FDD band </w:t>
            </w:r>
          </w:p>
        </w:tc>
        <w:tc>
          <w:tcPr>
            <w:tcW w:w="2327" w:type="dxa"/>
            <w:tcBorders>
              <w:top w:val="single" w:sz="4" w:space="0" w:color="auto"/>
              <w:left w:val="single" w:sz="4" w:space="0" w:color="auto"/>
              <w:bottom w:val="single" w:sz="4" w:space="0" w:color="auto"/>
              <w:right w:val="single" w:sz="4" w:space="0" w:color="auto"/>
            </w:tcBorders>
          </w:tcPr>
          <w:p w14:paraId="62906627" w14:textId="77777777" w:rsidR="0082642F" w:rsidRPr="00F9519C" w:rsidRDefault="0082642F" w:rsidP="005E1C9A">
            <w:pPr>
              <w:pStyle w:val="TAC"/>
              <w:keepNext w:val="0"/>
              <w:keepLines w:val="0"/>
            </w:pPr>
            <w:r w:rsidRPr="00F9519C">
              <w:t>5</w:t>
            </w:r>
          </w:p>
        </w:tc>
        <w:tc>
          <w:tcPr>
            <w:tcW w:w="2327" w:type="dxa"/>
            <w:tcBorders>
              <w:top w:val="single" w:sz="4" w:space="0" w:color="auto"/>
              <w:left w:val="single" w:sz="4" w:space="0" w:color="auto"/>
              <w:bottom w:val="single" w:sz="4" w:space="0" w:color="auto"/>
              <w:right w:val="single" w:sz="4" w:space="0" w:color="auto"/>
            </w:tcBorders>
            <w:vAlign w:val="center"/>
          </w:tcPr>
          <w:p w14:paraId="58ABE28C" w14:textId="77777777" w:rsidR="0082642F" w:rsidRPr="00F9519C" w:rsidRDefault="0082642F" w:rsidP="005E1C9A">
            <w:pPr>
              <w:pStyle w:val="TAC"/>
              <w:keepNext w:val="0"/>
              <w:keepLines w:val="0"/>
            </w:pPr>
            <w:r w:rsidRPr="00F9519C">
              <w:t>2.5</w:t>
            </w:r>
            <w:r w:rsidRPr="00AF2C2A">
              <w:rPr>
                <w:vertAlign w:val="superscript"/>
              </w:rPr>
              <w:t>1</w:t>
            </w:r>
          </w:p>
        </w:tc>
        <w:tc>
          <w:tcPr>
            <w:tcW w:w="2128" w:type="dxa"/>
            <w:tcBorders>
              <w:top w:val="single" w:sz="4" w:space="0" w:color="auto"/>
              <w:left w:val="single" w:sz="4" w:space="0" w:color="auto"/>
              <w:bottom w:val="single" w:sz="4" w:space="0" w:color="auto"/>
              <w:right w:val="single" w:sz="4" w:space="0" w:color="auto"/>
            </w:tcBorders>
            <w:vAlign w:val="center"/>
          </w:tcPr>
          <w:p w14:paraId="551F02C7" w14:textId="22C90334" w:rsidR="0082642F" w:rsidRPr="00F9519C" w:rsidRDefault="00E031BB" w:rsidP="005E1C9A">
            <w:pPr>
              <w:pStyle w:val="TAC"/>
              <w:keepNext w:val="0"/>
              <w:keepLines w:val="0"/>
            </w:pPr>
            <w:r>
              <w:t>3.0</w:t>
            </w:r>
            <w:r w:rsidR="0082642F" w:rsidRPr="00AF2C2A">
              <w:rPr>
                <w:vertAlign w:val="superscript"/>
              </w:rPr>
              <w:t>1</w:t>
            </w:r>
          </w:p>
        </w:tc>
      </w:tr>
      <w:tr w:rsidR="0082642F" w:rsidRPr="00F9519C" w14:paraId="1E81F146"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vAlign w:val="center"/>
          </w:tcPr>
          <w:p w14:paraId="099BF91E" w14:textId="77777777" w:rsidR="0082642F" w:rsidRPr="00F9519C" w:rsidRDefault="0082642F" w:rsidP="005E1C9A">
            <w:pPr>
              <w:pStyle w:val="TAC"/>
              <w:keepNext w:val="0"/>
              <w:keepLines w:val="0"/>
            </w:pPr>
            <w:r w:rsidRPr="00F9519C">
              <w:t xml:space="preserve">FDD band </w:t>
            </w:r>
          </w:p>
        </w:tc>
        <w:tc>
          <w:tcPr>
            <w:tcW w:w="2327" w:type="dxa"/>
            <w:tcBorders>
              <w:top w:val="single" w:sz="4" w:space="0" w:color="auto"/>
              <w:left w:val="single" w:sz="4" w:space="0" w:color="auto"/>
              <w:bottom w:val="single" w:sz="4" w:space="0" w:color="auto"/>
              <w:right w:val="single" w:sz="4" w:space="0" w:color="auto"/>
            </w:tcBorders>
          </w:tcPr>
          <w:p w14:paraId="3FB0B370" w14:textId="77777777" w:rsidR="0082642F" w:rsidRPr="00F9519C" w:rsidRDefault="0082642F" w:rsidP="005E1C9A">
            <w:pPr>
              <w:pStyle w:val="TAC"/>
              <w:keepNext w:val="0"/>
              <w:keepLines w:val="0"/>
            </w:pPr>
            <w:r w:rsidRPr="00F9519C">
              <w:t>10, 15</w:t>
            </w:r>
            <w:r w:rsidRPr="00F9519C">
              <w:rPr>
                <w:rFonts w:hint="eastAsia"/>
                <w:lang w:eastAsia="zh-CN"/>
              </w:rPr>
              <w:t>,</w:t>
            </w:r>
            <w:r w:rsidRPr="00F9519C">
              <w:t xml:space="preserve"> 20</w:t>
            </w:r>
          </w:p>
        </w:tc>
        <w:tc>
          <w:tcPr>
            <w:tcW w:w="2327" w:type="dxa"/>
            <w:tcBorders>
              <w:top w:val="single" w:sz="4" w:space="0" w:color="auto"/>
              <w:left w:val="single" w:sz="4" w:space="0" w:color="auto"/>
              <w:bottom w:val="single" w:sz="4" w:space="0" w:color="auto"/>
              <w:right w:val="single" w:sz="4" w:space="0" w:color="auto"/>
            </w:tcBorders>
            <w:vAlign w:val="center"/>
          </w:tcPr>
          <w:p w14:paraId="78E0AAB9" w14:textId="77777777" w:rsidR="0082642F" w:rsidRPr="00F9519C" w:rsidRDefault="0082642F" w:rsidP="005E1C9A">
            <w:pPr>
              <w:pStyle w:val="TAC"/>
              <w:keepNext w:val="0"/>
              <w:keepLines w:val="0"/>
            </w:pPr>
            <w:r w:rsidRPr="00F9519C">
              <w:t>3.0</w:t>
            </w:r>
            <w:r w:rsidRPr="00AF2C2A">
              <w:rPr>
                <w:vertAlign w:val="superscript"/>
              </w:rPr>
              <w:t>1</w:t>
            </w:r>
          </w:p>
        </w:tc>
        <w:tc>
          <w:tcPr>
            <w:tcW w:w="2128" w:type="dxa"/>
            <w:tcBorders>
              <w:top w:val="single" w:sz="4" w:space="0" w:color="auto"/>
              <w:left w:val="single" w:sz="4" w:space="0" w:color="auto"/>
              <w:bottom w:val="single" w:sz="4" w:space="0" w:color="auto"/>
              <w:right w:val="single" w:sz="4" w:space="0" w:color="auto"/>
            </w:tcBorders>
            <w:vAlign w:val="center"/>
          </w:tcPr>
          <w:p w14:paraId="5E026FA5" w14:textId="77777777" w:rsidR="0082642F" w:rsidRPr="00F9519C" w:rsidRDefault="0082642F" w:rsidP="005E1C9A">
            <w:pPr>
              <w:pStyle w:val="TAC"/>
              <w:keepNext w:val="0"/>
              <w:keepLines w:val="0"/>
            </w:pPr>
            <w:r w:rsidRPr="00F9519C">
              <w:t>3.0</w:t>
            </w:r>
            <w:r w:rsidRPr="00AF2C2A">
              <w:rPr>
                <w:vertAlign w:val="superscript"/>
              </w:rPr>
              <w:t>1</w:t>
            </w:r>
          </w:p>
        </w:tc>
      </w:tr>
      <w:tr w:rsidR="0082642F" w:rsidRPr="00F9519C" w14:paraId="2B3C7CF4" w14:textId="77777777" w:rsidTr="005E1C9A">
        <w:trPr>
          <w:trHeight w:val="296"/>
          <w:jc w:val="center"/>
        </w:trPr>
        <w:tc>
          <w:tcPr>
            <w:tcW w:w="2264" w:type="dxa"/>
            <w:tcBorders>
              <w:top w:val="single" w:sz="4" w:space="0" w:color="auto"/>
              <w:left w:val="single" w:sz="4" w:space="0" w:color="auto"/>
              <w:bottom w:val="single" w:sz="4" w:space="0" w:color="auto"/>
              <w:right w:val="single" w:sz="4" w:space="0" w:color="auto"/>
            </w:tcBorders>
            <w:vAlign w:val="center"/>
          </w:tcPr>
          <w:p w14:paraId="7A11C638" w14:textId="77777777" w:rsidR="0082642F" w:rsidRPr="00F9519C" w:rsidRDefault="0082642F" w:rsidP="005E1C9A">
            <w:pPr>
              <w:pStyle w:val="TAC"/>
              <w:keepNext w:val="0"/>
              <w:keepLines w:val="0"/>
              <w:rPr>
                <w:lang w:eastAsia="zh-CN"/>
              </w:rPr>
            </w:pPr>
            <w:r>
              <w:rPr>
                <w:rFonts w:hint="eastAsia"/>
                <w:lang w:eastAsia="zh-CN"/>
              </w:rPr>
              <w:t>B</w:t>
            </w:r>
            <w:r>
              <w:rPr>
                <w:lang w:eastAsia="zh-CN"/>
              </w:rPr>
              <w:t>and n8</w:t>
            </w:r>
          </w:p>
        </w:tc>
        <w:tc>
          <w:tcPr>
            <w:tcW w:w="2327" w:type="dxa"/>
            <w:tcBorders>
              <w:top w:val="single" w:sz="4" w:space="0" w:color="auto"/>
              <w:left w:val="single" w:sz="4" w:space="0" w:color="auto"/>
              <w:bottom w:val="single" w:sz="4" w:space="0" w:color="auto"/>
              <w:right w:val="single" w:sz="4" w:space="0" w:color="auto"/>
            </w:tcBorders>
          </w:tcPr>
          <w:p w14:paraId="16EE509A" w14:textId="77777777" w:rsidR="0082642F" w:rsidRPr="00F9519C" w:rsidRDefault="0082642F" w:rsidP="005E1C9A">
            <w:pPr>
              <w:pStyle w:val="TAC"/>
              <w:keepNext w:val="0"/>
              <w:keepLines w:val="0"/>
              <w:rPr>
                <w:lang w:eastAsia="zh-CN"/>
              </w:rPr>
            </w:pPr>
            <w:r>
              <w:rPr>
                <w:rFonts w:hint="eastAsia"/>
                <w:lang w:eastAsia="zh-CN"/>
              </w:rPr>
              <w:t>2</w:t>
            </w:r>
            <w:r>
              <w:rPr>
                <w:lang w:eastAsia="zh-CN"/>
              </w:rPr>
              <w:t>0</w:t>
            </w:r>
          </w:p>
        </w:tc>
        <w:tc>
          <w:tcPr>
            <w:tcW w:w="2327" w:type="dxa"/>
            <w:tcBorders>
              <w:top w:val="single" w:sz="4" w:space="0" w:color="auto"/>
              <w:left w:val="single" w:sz="4" w:space="0" w:color="auto"/>
              <w:bottom w:val="single" w:sz="4" w:space="0" w:color="auto"/>
              <w:right w:val="single" w:sz="4" w:space="0" w:color="auto"/>
            </w:tcBorders>
            <w:vAlign w:val="center"/>
          </w:tcPr>
          <w:p w14:paraId="4F96D9F8" w14:textId="77777777" w:rsidR="0082642F" w:rsidRPr="00F9519C" w:rsidRDefault="0082642F" w:rsidP="005E1C9A">
            <w:pPr>
              <w:pStyle w:val="TAC"/>
              <w:keepNext w:val="0"/>
              <w:keepLines w:val="0"/>
              <w:rPr>
                <w:lang w:eastAsia="zh-CN"/>
              </w:rPr>
            </w:pPr>
            <w:r>
              <w:rPr>
                <w:rFonts w:hint="eastAsia"/>
                <w:lang w:eastAsia="zh-CN"/>
              </w:rPr>
              <w:t>T</w:t>
            </w:r>
            <w:r>
              <w:rPr>
                <w:lang w:eastAsia="zh-CN"/>
              </w:rPr>
              <w:t>BD</w:t>
            </w:r>
          </w:p>
        </w:tc>
        <w:tc>
          <w:tcPr>
            <w:tcW w:w="2128" w:type="dxa"/>
            <w:tcBorders>
              <w:top w:val="single" w:sz="4" w:space="0" w:color="auto"/>
              <w:left w:val="single" w:sz="4" w:space="0" w:color="auto"/>
              <w:bottom w:val="single" w:sz="4" w:space="0" w:color="auto"/>
              <w:right w:val="single" w:sz="4" w:space="0" w:color="auto"/>
            </w:tcBorders>
          </w:tcPr>
          <w:p w14:paraId="6934D782" w14:textId="77777777" w:rsidR="0082642F" w:rsidRDefault="0082642F" w:rsidP="005E1C9A">
            <w:pPr>
              <w:pStyle w:val="TAC"/>
              <w:keepNext w:val="0"/>
              <w:keepLines w:val="0"/>
              <w:rPr>
                <w:lang w:eastAsia="zh-CN"/>
              </w:rPr>
            </w:pPr>
            <w:r>
              <w:rPr>
                <w:rFonts w:hint="eastAsia"/>
                <w:lang w:eastAsia="zh-CN"/>
              </w:rPr>
              <w:t>T</w:t>
            </w:r>
            <w:r>
              <w:rPr>
                <w:lang w:eastAsia="zh-CN"/>
              </w:rPr>
              <w:t>BD</w:t>
            </w:r>
          </w:p>
        </w:tc>
      </w:tr>
      <w:tr w:rsidR="0082642F" w:rsidRPr="00F9519C" w14:paraId="70033C6A" w14:textId="77777777" w:rsidTr="005E1C9A">
        <w:trPr>
          <w:trHeight w:val="296"/>
          <w:jc w:val="center"/>
        </w:trPr>
        <w:tc>
          <w:tcPr>
            <w:tcW w:w="9049" w:type="dxa"/>
            <w:gridSpan w:val="4"/>
            <w:tcBorders>
              <w:top w:val="single" w:sz="4" w:space="0" w:color="auto"/>
              <w:left w:val="single" w:sz="4" w:space="0" w:color="auto"/>
              <w:bottom w:val="single" w:sz="4" w:space="0" w:color="auto"/>
              <w:right w:val="single" w:sz="4" w:space="0" w:color="auto"/>
            </w:tcBorders>
            <w:vAlign w:val="center"/>
          </w:tcPr>
          <w:p w14:paraId="4A92779A" w14:textId="77777777" w:rsidR="0082642F" w:rsidRDefault="0082642F" w:rsidP="005E1C9A">
            <w:pPr>
              <w:pStyle w:val="TAC"/>
              <w:keepNext w:val="0"/>
              <w:keepLines w:val="0"/>
              <w:jc w:val="left"/>
              <w:rPr>
                <w:lang w:eastAsia="zh-CN"/>
              </w:rPr>
            </w:pPr>
            <w:r>
              <w:rPr>
                <w:rFonts w:hint="eastAsia"/>
                <w:lang w:eastAsia="zh-CN"/>
              </w:rPr>
              <w:t>N</w:t>
            </w:r>
            <w:r>
              <w:rPr>
                <w:lang w:eastAsia="zh-CN"/>
              </w:rPr>
              <w:t>ote 1: A</w:t>
            </w:r>
            <w:r w:rsidRPr="00AF2C2A">
              <w:rPr>
                <w:lang w:eastAsia="zh-CN"/>
              </w:rPr>
              <w:t xml:space="preserve">pplicable </w:t>
            </w:r>
            <w:r>
              <w:rPr>
                <w:lang w:eastAsia="zh-CN"/>
              </w:rPr>
              <w:t>for</w:t>
            </w:r>
            <w:r w:rsidRPr="00AF2C2A">
              <w:rPr>
                <w:lang w:eastAsia="zh-CN"/>
              </w:rPr>
              <w:t xml:space="preserve"> the </w:t>
            </w:r>
            <w:r>
              <w:rPr>
                <w:lang w:eastAsia="zh-CN"/>
              </w:rPr>
              <w:t xml:space="preserve">REFSENS </w:t>
            </w:r>
            <w:r w:rsidRPr="00AF2C2A">
              <w:rPr>
                <w:lang w:eastAsia="zh-CN"/>
              </w:rPr>
              <w:t>requirement for two antenna port in Table 7.3.2-1a is larger than 89.5dBm</w:t>
            </w:r>
          </w:p>
        </w:tc>
      </w:tr>
    </w:tbl>
    <w:p w14:paraId="2CEA636C" w14:textId="77777777" w:rsidR="00957AB7" w:rsidRPr="0082642F" w:rsidRDefault="00957AB7"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2DB9362C" w14:textId="7A8EE285" w:rsidR="007A0BCB" w:rsidRPr="009E42FF" w:rsidRDefault="00D00321" w:rsidP="00D00321">
      <w:pPr>
        <w:pStyle w:val="20"/>
        <w:ind w:left="336" w:hangingChars="160" w:hanging="336"/>
      </w:pPr>
      <w:r w:rsidRPr="00D00321">
        <w:t>R4-250</w:t>
      </w:r>
      <w:r w:rsidR="0046184B">
        <w:t>5231</w:t>
      </w:r>
      <w:r w:rsidR="00864CEA">
        <w:t xml:space="preserve">, </w:t>
      </w:r>
      <w:r w:rsidR="0046184B" w:rsidRPr="0046184B">
        <w:t>WF on PC2 RedCap UE RF requirements</w:t>
      </w:r>
      <w:r w:rsidR="00864CEA">
        <w:t xml:space="preserve">, </w:t>
      </w:r>
      <w:r w:rsidRPr="00D00321">
        <w:t>China Telecom</w:t>
      </w:r>
    </w:p>
    <w:sectPr w:rsidR="007A0BCB"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285A" w14:textId="77777777" w:rsidR="00EA7E43" w:rsidRDefault="00EA7E43" w:rsidP="004B5AA6">
      <w:r>
        <w:separator/>
      </w:r>
    </w:p>
  </w:endnote>
  <w:endnote w:type="continuationSeparator" w:id="0">
    <w:p w14:paraId="656A77AE" w14:textId="77777777" w:rsidR="00EA7E43" w:rsidRDefault="00EA7E43"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7813" w14:textId="77777777" w:rsidR="00EA7E43" w:rsidRDefault="00EA7E43" w:rsidP="004B5AA6">
      <w:r>
        <w:separator/>
      </w:r>
    </w:p>
  </w:footnote>
  <w:footnote w:type="continuationSeparator" w:id="0">
    <w:p w14:paraId="3DC9A80A" w14:textId="77777777" w:rsidR="00EA7E43" w:rsidRDefault="00EA7E43"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6"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2"/>
  </w:num>
  <w:num w:numId="2" w16cid:durableId="1232891747">
    <w:abstractNumId w:val="10"/>
  </w:num>
  <w:num w:numId="3" w16cid:durableId="1760325306">
    <w:abstractNumId w:val="21"/>
  </w:num>
  <w:num w:numId="4" w16cid:durableId="237132762">
    <w:abstractNumId w:val="4"/>
  </w:num>
  <w:num w:numId="5" w16cid:durableId="2029912745">
    <w:abstractNumId w:val="14"/>
  </w:num>
  <w:num w:numId="6" w16cid:durableId="615602548">
    <w:abstractNumId w:val="25"/>
  </w:num>
  <w:num w:numId="7" w16cid:durableId="153302421">
    <w:abstractNumId w:val="25"/>
  </w:num>
  <w:num w:numId="8" w16cid:durableId="1674844568">
    <w:abstractNumId w:val="25"/>
  </w:num>
  <w:num w:numId="9" w16cid:durableId="967275432">
    <w:abstractNumId w:val="19"/>
  </w:num>
  <w:num w:numId="10" w16cid:durableId="1692106226">
    <w:abstractNumId w:val="24"/>
  </w:num>
  <w:num w:numId="11" w16cid:durableId="891312509">
    <w:abstractNumId w:val="31"/>
  </w:num>
  <w:num w:numId="12" w16cid:durableId="101344973">
    <w:abstractNumId w:val="29"/>
  </w:num>
  <w:num w:numId="13" w16cid:durableId="49422503">
    <w:abstractNumId w:val="16"/>
  </w:num>
  <w:num w:numId="14" w16cid:durableId="400180352">
    <w:abstractNumId w:val="11"/>
  </w:num>
  <w:num w:numId="15" w16cid:durableId="1454789489">
    <w:abstractNumId w:val="18"/>
  </w:num>
  <w:num w:numId="16" w16cid:durableId="1845708583">
    <w:abstractNumId w:val="22"/>
  </w:num>
  <w:num w:numId="17" w16cid:durableId="304706413">
    <w:abstractNumId w:val="23"/>
  </w:num>
  <w:num w:numId="18" w16cid:durableId="956830865">
    <w:abstractNumId w:val="25"/>
  </w:num>
  <w:num w:numId="19" w16cid:durableId="1895239158">
    <w:abstractNumId w:val="30"/>
  </w:num>
  <w:num w:numId="20" w16cid:durableId="165748932">
    <w:abstractNumId w:val="27"/>
  </w:num>
  <w:num w:numId="21" w16cid:durableId="971518424">
    <w:abstractNumId w:val="17"/>
  </w:num>
  <w:num w:numId="22" w16cid:durableId="848449018">
    <w:abstractNumId w:val="8"/>
  </w:num>
  <w:num w:numId="23" w16cid:durableId="854416849">
    <w:abstractNumId w:val="25"/>
  </w:num>
  <w:num w:numId="24" w16cid:durableId="715668602">
    <w:abstractNumId w:val="13"/>
  </w:num>
  <w:num w:numId="25" w16cid:durableId="1355502154">
    <w:abstractNumId w:val="25"/>
  </w:num>
  <w:num w:numId="26" w16cid:durableId="1445153812">
    <w:abstractNumId w:val="2"/>
  </w:num>
  <w:num w:numId="27" w16cid:durableId="1823308589">
    <w:abstractNumId w:val="12"/>
  </w:num>
  <w:num w:numId="28" w16cid:durableId="1894344806">
    <w:abstractNumId w:val="12"/>
  </w:num>
  <w:num w:numId="29" w16cid:durableId="1898010302">
    <w:abstractNumId w:val="25"/>
  </w:num>
  <w:num w:numId="30" w16cid:durableId="1415199414">
    <w:abstractNumId w:val="1"/>
  </w:num>
  <w:num w:numId="31" w16cid:durableId="1826585760">
    <w:abstractNumId w:val="5"/>
  </w:num>
  <w:num w:numId="32" w16cid:durableId="515274209">
    <w:abstractNumId w:val="12"/>
  </w:num>
  <w:num w:numId="33" w16cid:durableId="1952857958">
    <w:abstractNumId w:val="12"/>
  </w:num>
  <w:num w:numId="34" w16cid:durableId="68427871">
    <w:abstractNumId w:val="12"/>
  </w:num>
  <w:num w:numId="35" w16cid:durableId="246885968">
    <w:abstractNumId w:val="12"/>
  </w:num>
  <w:num w:numId="36" w16cid:durableId="1486899519">
    <w:abstractNumId w:val="12"/>
  </w:num>
  <w:num w:numId="37" w16cid:durableId="763037320">
    <w:abstractNumId w:val="25"/>
  </w:num>
  <w:num w:numId="38" w16cid:durableId="2080790089">
    <w:abstractNumId w:val="25"/>
  </w:num>
  <w:num w:numId="39" w16cid:durableId="777721663">
    <w:abstractNumId w:val="25"/>
  </w:num>
  <w:num w:numId="40" w16cid:durableId="793258826">
    <w:abstractNumId w:val="25"/>
  </w:num>
  <w:num w:numId="41" w16cid:durableId="1252393229">
    <w:abstractNumId w:val="20"/>
  </w:num>
  <w:num w:numId="42" w16cid:durableId="1226644709">
    <w:abstractNumId w:val="32"/>
  </w:num>
  <w:num w:numId="43" w16cid:durableId="93400849">
    <w:abstractNumId w:val="25"/>
  </w:num>
  <w:num w:numId="44" w16cid:durableId="709917312">
    <w:abstractNumId w:val="7"/>
  </w:num>
  <w:num w:numId="45" w16cid:durableId="1016882512">
    <w:abstractNumId w:val="9"/>
  </w:num>
  <w:num w:numId="46" w16cid:durableId="1023894402">
    <w:abstractNumId w:val="15"/>
  </w:num>
  <w:num w:numId="47" w16cid:durableId="1015959273">
    <w:abstractNumId w:val="6"/>
  </w:num>
  <w:num w:numId="48" w16cid:durableId="1947077010">
    <w:abstractNumId w:val="28"/>
  </w:num>
  <w:num w:numId="49" w16cid:durableId="886647051">
    <w:abstractNumId w:val="3"/>
  </w:num>
  <w:num w:numId="50" w16cid:durableId="620310662">
    <w:abstractNumId w:val="26"/>
  </w:num>
  <w:num w:numId="51" w16cid:durableId="1356734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01C9A"/>
    <w:rsid w:val="000115D2"/>
    <w:rsid w:val="00012268"/>
    <w:rsid w:val="000138EB"/>
    <w:rsid w:val="0001598C"/>
    <w:rsid w:val="00020640"/>
    <w:rsid w:val="00035417"/>
    <w:rsid w:val="00036AF5"/>
    <w:rsid w:val="00042E36"/>
    <w:rsid w:val="00052C3C"/>
    <w:rsid w:val="000555D1"/>
    <w:rsid w:val="00055F3A"/>
    <w:rsid w:val="000641FF"/>
    <w:rsid w:val="00066D78"/>
    <w:rsid w:val="00071C65"/>
    <w:rsid w:val="00086FB2"/>
    <w:rsid w:val="00092734"/>
    <w:rsid w:val="00094CDE"/>
    <w:rsid w:val="000954E9"/>
    <w:rsid w:val="000A2B1B"/>
    <w:rsid w:val="000A78E2"/>
    <w:rsid w:val="000B4C76"/>
    <w:rsid w:val="000B66B5"/>
    <w:rsid w:val="000B759A"/>
    <w:rsid w:val="000C2299"/>
    <w:rsid w:val="000C79C6"/>
    <w:rsid w:val="000D159F"/>
    <w:rsid w:val="000D5613"/>
    <w:rsid w:val="000E2107"/>
    <w:rsid w:val="000E4885"/>
    <w:rsid w:val="000E5628"/>
    <w:rsid w:val="000F1696"/>
    <w:rsid w:val="000F6DC4"/>
    <w:rsid w:val="000F7460"/>
    <w:rsid w:val="0010631D"/>
    <w:rsid w:val="00113BC6"/>
    <w:rsid w:val="0012186B"/>
    <w:rsid w:val="00122530"/>
    <w:rsid w:val="00133BF8"/>
    <w:rsid w:val="00140142"/>
    <w:rsid w:val="00147570"/>
    <w:rsid w:val="00150252"/>
    <w:rsid w:val="0015634C"/>
    <w:rsid w:val="001730E6"/>
    <w:rsid w:val="00180A02"/>
    <w:rsid w:val="00180D9A"/>
    <w:rsid w:val="00195DCA"/>
    <w:rsid w:val="00197033"/>
    <w:rsid w:val="001A29B3"/>
    <w:rsid w:val="001A337D"/>
    <w:rsid w:val="001A7461"/>
    <w:rsid w:val="001C6342"/>
    <w:rsid w:val="001D2710"/>
    <w:rsid w:val="001D50B5"/>
    <w:rsid w:val="001D5ABD"/>
    <w:rsid w:val="001E165C"/>
    <w:rsid w:val="001F00AA"/>
    <w:rsid w:val="001F1F1E"/>
    <w:rsid w:val="001F2EAB"/>
    <w:rsid w:val="0020033A"/>
    <w:rsid w:val="0021726D"/>
    <w:rsid w:val="00223E16"/>
    <w:rsid w:val="002358CF"/>
    <w:rsid w:val="00245C5A"/>
    <w:rsid w:val="00246529"/>
    <w:rsid w:val="00247474"/>
    <w:rsid w:val="00247B6E"/>
    <w:rsid w:val="00260612"/>
    <w:rsid w:val="0026453C"/>
    <w:rsid w:val="00266C9E"/>
    <w:rsid w:val="00274E08"/>
    <w:rsid w:val="002808A0"/>
    <w:rsid w:val="00284D7E"/>
    <w:rsid w:val="002A29A7"/>
    <w:rsid w:val="002C34FC"/>
    <w:rsid w:val="002C6B40"/>
    <w:rsid w:val="002C6F0E"/>
    <w:rsid w:val="002D1E52"/>
    <w:rsid w:val="002D7184"/>
    <w:rsid w:val="002E1952"/>
    <w:rsid w:val="002F0357"/>
    <w:rsid w:val="002F29A8"/>
    <w:rsid w:val="002F2CD6"/>
    <w:rsid w:val="00304DE3"/>
    <w:rsid w:val="00314B8A"/>
    <w:rsid w:val="00317126"/>
    <w:rsid w:val="00321F8E"/>
    <w:rsid w:val="00324845"/>
    <w:rsid w:val="00330594"/>
    <w:rsid w:val="00332715"/>
    <w:rsid w:val="003359C8"/>
    <w:rsid w:val="00337E85"/>
    <w:rsid w:val="0034418B"/>
    <w:rsid w:val="003477B2"/>
    <w:rsid w:val="003549FA"/>
    <w:rsid w:val="003646C3"/>
    <w:rsid w:val="00365B27"/>
    <w:rsid w:val="00367D80"/>
    <w:rsid w:val="003859D4"/>
    <w:rsid w:val="00395B79"/>
    <w:rsid w:val="00396EF2"/>
    <w:rsid w:val="003A1978"/>
    <w:rsid w:val="003A2888"/>
    <w:rsid w:val="003A2C68"/>
    <w:rsid w:val="003A78B9"/>
    <w:rsid w:val="003B3D5C"/>
    <w:rsid w:val="003C0B02"/>
    <w:rsid w:val="003C241F"/>
    <w:rsid w:val="003C5A4D"/>
    <w:rsid w:val="003D4D19"/>
    <w:rsid w:val="003E5CFF"/>
    <w:rsid w:val="003E6CC5"/>
    <w:rsid w:val="003F0326"/>
    <w:rsid w:val="003F7FC0"/>
    <w:rsid w:val="004006B5"/>
    <w:rsid w:val="004031F1"/>
    <w:rsid w:val="004057F6"/>
    <w:rsid w:val="00405B68"/>
    <w:rsid w:val="00414D02"/>
    <w:rsid w:val="00415A0A"/>
    <w:rsid w:val="00417471"/>
    <w:rsid w:val="0042263C"/>
    <w:rsid w:val="00427A44"/>
    <w:rsid w:val="0044663D"/>
    <w:rsid w:val="00446CB0"/>
    <w:rsid w:val="00456A50"/>
    <w:rsid w:val="0046184B"/>
    <w:rsid w:val="00462D96"/>
    <w:rsid w:val="00463454"/>
    <w:rsid w:val="004639D4"/>
    <w:rsid w:val="00466DC4"/>
    <w:rsid w:val="0047146B"/>
    <w:rsid w:val="00473AF6"/>
    <w:rsid w:val="004776D9"/>
    <w:rsid w:val="00483822"/>
    <w:rsid w:val="0049138E"/>
    <w:rsid w:val="004A1908"/>
    <w:rsid w:val="004A3E85"/>
    <w:rsid w:val="004B05A1"/>
    <w:rsid w:val="004B2BD3"/>
    <w:rsid w:val="004B4B30"/>
    <w:rsid w:val="004B4F74"/>
    <w:rsid w:val="004B5AA6"/>
    <w:rsid w:val="004C733A"/>
    <w:rsid w:val="004E1D25"/>
    <w:rsid w:val="004E7FDA"/>
    <w:rsid w:val="004F062F"/>
    <w:rsid w:val="005261E7"/>
    <w:rsid w:val="00534095"/>
    <w:rsid w:val="00535482"/>
    <w:rsid w:val="00541673"/>
    <w:rsid w:val="005472B7"/>
    <w:rsid w:val="00553D3C"/>
    <w:rsid w:val="00562C46"/>
    <w:rsid w:val="00564138"/>
    <w:rsid w:val="00574AF4"/>
    <w:rsid w:val="005757AE"/>
    <w:rsid w:val="005833B5"/>
    <w:rsid w:val="005838E9"/>
    <w:rsid w:val="00592179"/>
    <w:rsid w:val="00597C68"/>
    <w:rsid w:val="005A351E"/>
    <w:rsid w:val="005A52C6"/>
    <w:rsid w:val="005A7BB7"/>
    <w:rsid w:val="005B3E69"/>
    <w:rsid w:val="005B45CB"/>
    <w:rsid w:val="005C06D0"/>
    <w:rsid w:val="005E754D"/>
    <w:rsid w:val="005F3672"/>
    <w:rsid w:val="005F3D32"/>
    <w:rsid w:val="005F76EA"/>
    <w:rsid w:val="00601194"/>
    <w:rsid w:val="006025E3"/>
    <w:rsid w:val="0060420D"/>
    <w:rsid w:val="00615B96"/>
    <w:rsid w:val="00622570"/>
    <w:rsid w:val="00633076"/>
    <w:rsid w:val="00633449"/>
    <w:rsid w:val="00640605"/>
    <w:rsid w:val="0064679F"/>
    <w:rsid w:val="00650FCA"/>
    <w:rsid w:val="0066092E"/>
    <w:rsid w:val="00664B88"/>
    <w:rsid w:val="006654BD"/>
    <w:rsid w:val="00671F60"/>
    <w:rsid w:val="00675382"/>
    <w:rsid w:val="00680136"/>
    <w:rsid w:val="0068155B"/>
    <w:rsid w:val="00686619"/>
    <w:rsid w:val="00696381"/>
    <w:rsid w:val="006966E9"/>
    <w:rsid w:val="00696BEF"/>
    <w:rsid w:val="006A36AF"/>
    <w:rsid w:val="006B1944"/>
    <w:rsid w:val="006B38C7"/>
    <w:rsid w:val="006E2C7E"/>
    <w:rsid w:val="006E6FC9"/>
    <w:rsid w:val="006F3E60"/>
    <w:rsid w:val="006F4DAD"/>
    <w:rsid w:val="00710C7E"/>
    <w:rsid w:val="00713B1F"/>
    <w:rsid w:val="00720727"/>
    <w:rsid w:val="007225DB"/>
    <w:rsid w:val="00725A25"/>
    <w:rsid w:val="00727464"/>
    <w:rsid w:val="007409E1"/>
    <w:rsid w:val="00742818"/>
    <w:rsid w:val="007539BE"/>
    <w:rsid w:val="00754D42"/>
    <w:rsid w:val="00755DBD"/>
    <w:rsid w:val="007563C0"/>
    <w:rsid w:val="007565DE"/>
    <w:rsid w:val="007623EE"/>
    <w:rsid w:val="00764A8F"/>
    <w:rsid w:val="00764FB5"/>
    <w:rsid w:val="007667B5"/>
    <w:rsid w:val="007957E6"/>
    <w:rsid w:val="007A0BCB"/>
    <w:rsid w:val="007A4615"/>
    <w:rsid w:val="007A5776"/>
    <w:rsid w:val="007B354B"/>
    <w:rsid w:val="007C0A16"/>
    <w:rsid w:val="007C4659"/>
    <w:rsid w:val="007C602C"/>
    <w:rsid w:val="007D08F9"/>
    <w:rsid w:val="007D0AF5"/>
    <w:rsid w:val="007D2B79"/>
    <w:rsid w:val="007D66D6"/>
    <w:rsid w:val="007E2D7E"/>
    <w:rsid w:val="007E6700"/>
    <w:rsid w:val="007F4735"/>
    <w:rsid w:val="0080557B"/>
    <w:rsid w:val="00807134"/>
    <w:rsid w:val="00810957"/>
    <w:rsid w:val="00810FD2"/>
    <w:rsid w:val="00811B13"/>
    <w:rsid w:val="00825691"/>
    <w:rsid w:val="0082642F"/>
    <w:rsid w:val="00830A8A"/>
    <w:rsid w:val="008342DA"/>
    <w:rsid w:val="00836E5C"/>
    <w:rsid w:val="00837D66"/>
    <w:rsid w:val="0084485C"/>
    <w:rsid w:val="00846110"/>
    <w:rsid w:val="00853CA0"/>
    <w:rsid w:val="00864CEA"/>
    <w:rsid w:val="008704AF"/>
    <w:rsid w:val="00871121"/>
    <w:rsid w:val="00875F74"/>
    <w:rsid w:val="008803FA"/>
    <w:rsid w:val="00881DA9"/>
    <w:rsid w:val="00883786"/>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32B6"/>
    <w:rsid w:val="00904248"/>
    <w:rsid w:val="00905D57"/>
    <w:rsid w:val="0090698D"/>
    <w:rsid w:val="00906F78"/>
    <w:rsid w:val="009115F8"/>
    <w:rsid w:val="009160E5"/>
    <w:rsid w:val="00917ACD"/>
    <w:rsid w:val="009227EE"/>
    <w:rsid w:val="009263A3"/>
    <w:rsid w:val="00926A75"/>
    <w:rsid w:val="009319A6"/>
    <w:rsid w:val="00932FE0"/>
    <w:rsid w:val="00933722"/>
    <w:rsid w:val="00945E62"/>
    <w:rsid w:val="009546AF"/>
    <w:rsid w:val="009564C6"/>
    <w:rsid w:val="00957AB7"/>
    <w:rsid w:val="00963094"/>
    <w:rsid w:val="00970485"/>
    <w:rsid w:val="00970F0D"/>
    <w:rsid w:val="00973D79"/>
    <w:rsid w:val="00984D17"/>
    <w:rsid w:val="00990496"/>
    <w:rsid w:val="009916BC"/>
    <w:rsid w:val="00996980"/>
    <w:rsid w:val="009A2A18"/>
    <w:rsid w:val="009A31ED"/>
    <w:rsid w:val="009B406F"/>
    <w:rsid w:val="009B5158"/>
    <w:rsid w:val="009B65E3"/>
    <w:rsid w:val="009C1131"/>
    <w:rsid w:val="009D783F"/>
    <w:rsid w:val="009E167C"/>
    <w:rsid w:val="009E42FF"/>
    <w:rsid w:val="009E436F"/>
    <w:rsid w:val="00A0082C"/>
    <w:rsid w:val="00A037CA"/>
    <w:rsid w:val="00A038F5"/>
    <w:rsid w:val="00A06C46"/>
    <w:rsid w:val="00A0701A"/>
    <w:rsid w:val="00A11DBB"/>
    <w:rsid w:val="00A15F76"/>
    <w:rsid w:val="00A20961"/>
    <w:rsid w:val="00A230D4"/>
    <w:rsid w:val="00A23B5C"/>
    <w:rsid w:val="00A3396F"/>
    <w:rsid w:val="00A4686E"/>
    <w:rsid w:val="00A50672"/>
    <w:rsid w:val="00A6261A"/>
    <w:rsid w:val="00A639AF"/>
    <w:rsid w:val="00A65022"/>
    <w:rsid w:val="00A72CF2"/>
    <w:rsid w:val="00A74D0E"/>
    <w:rsid w:val="00A75819"/>
    <w:rsid w:val="00A7603F"/>
    <w:rsid w:val="00A85FAD"/>
    <w:rsid w:val="00A923FB"/>
    <w:rsid w:val="00AA202D"/>
    <w:rsid w:val="00AA3EBB"/>
    <w:rsid w:val="00AB29FC"/>
    <w:rsid w:val="00AB4279"/>
    <w:rsid w:val="00AB7730"/>
    <w:rsid w:val="00AC0FF3"/>
    <w:rsid w:val="00AC1C22"/>
    <w:rsid w:val="00AC5F3F"/>
    <w:rsid w:val="00AD5F5A"/>
    <w:rsid w:val="00AD69C1"/>
    <w:rsid w:val="00AE27AA"/>
    <w:rsid w:val="00AE3F2F"/>
    <w:rsid w:val="00AE5159"/>
    <w:rsid w:val="00AE6AE9"/>
    <w:rsid w:val="00AF007E"/>
    <w:rsid w:val="00AF07FB"/>
    <w:rsid w:val="00AF2148"/>
    <w:rsid w:val="00AF2C2A"/>
    <w:rsid w:val="00AF4842"/>
    <w:rsid w:val="00AF592D"/>
    <w:rsid w:val="00AF5B66"/>
    <w:rsid w:val="00AF6B6B"/>
    <w:rsid w:val="00B058FD"/>
    <w:rsid w:val="00B204BB"/>
    <w:rsid w:val="00B22CEF"/>
    <w:rsid w:val="00B25728"/>
    <w:rsid w:val="00B31223"/>
    <w:rsid w:val="00B3260B"/>
    <w:rsid w:val="00B35025"/>
    <w:rsid w:val="00B377A5"/>
    <w:rsid w:val="00B40351"/>
    <w:rsid w:val="00B4167E"/>
    <w:rsid w:val="00B445A9"/>
    <w:rsid w:val="00B500EE"/>
    <w:rsid w:val="00B5044B"/>
    <w:rsid w:val="00B61082"/>
    <w:rsid w:val="00B6601A"/>
    <w:rsid w:val="00B7106F"/>
    <w:rsid w:val="00B72088"/>
    <w:rsid w:val="00B7640F"/>
    <w:rsid w:val="00B77C60"/>
    <w:rsid w:val="00B82F3A"/>
    <w:rsid w:val="00B90DE4"/>
    <w:rsid w:val="00BA4EB7"/>
    <w:rsid w:val="00BA78B9"/>
    <w:rsid w:val="00BB6D97"/>
    <w:rsid w:val="00BC33CB"/>
    <w:rsid w:val="00BD4046"/>
    <w:rsid w:val="00BD631B"/>
    <w:rsid w:val="00BD6D67"/>
    <w:rsid w:val="00BE387E"/>
    <w:rsid w:val="00BF3B40"/>
    <w:rsid w:val="00BF6010"/>
    <w:rsid w:val="00C01937"/>
    <w:rsid w:val="00C03F34"/>
    <w:rsid w:val="00C13DFC"/>
    <w:rsid w:val="00C314A8"/>
    <w:rsid w:val="00C33403"/>
    <w:rsid w:val="00C346FA"/>
    <w:rsid w:val="00C43096"/>
    <w:rsid w:val="00C51FDD"/>
    <w:rsid w:val="00C52F6E"/>
    <w:rsid w:val="00C53356"/>
    <w:rsid w:val="00C60F22"/>
    <w:rsid w:val="00C65341"/>
    <w:rsid w:val="00C746B9"/>
    <w:rsid w:val="00C74DAE"/>
    <w:rsid w:val="00C75DD2"/>
    <w:rsid w:val="00C86F96"/>
    <w:rsid w:val="00CA0F30"/>
    <w:rsid w:val="00CA6CB6"/>
    <w:rsid w:val="00CA7EE6"/>
    <w:rsid w:val="00CB2D1C"/>
    <w:rsid w:val="00CC24CA"/>
    <w:rsid w:val="00CC4014"/>
    <w:rsid w:val="00CC645A"/>
    <w:rsid w:val="00CD22BF"/>
    <w:rsid w:val="00CD7861"/>
    <w:rsid w:val="00CE1D39"/>
    <w:rsid w:val="00CE3069"/>
    <w:rsid w:val="00CF118C"/>
    <w:rsid w:val="00CF4FCF"/>
    <w:rsid w:val="00CF63CC"/>
    <w:rsid w:val="00D00321"/>
    <w:rsid w:val="00D006E1"/>
    <w:rsid w:val="00D02B3E"/>
    <w:rsid w:val="00D062EA"/>
    <w:rsid w:val="00D106EA"/>
    <w:rsid w:val="00D10BEC"/>
    <w:rsid w:val="00D16563"/>
    <w:rsid w:val="00D16621"/>
    <w:rsid w:val="00D17C05"/>
    <w:rsid w:val="00D36971"/>
    <w:rsid w:val="00D429AE"/>
    <w:rsid w:val="00D5088B"/>
    <w:rsid w:val="00D536F5"/>
    <w:rsid w:val="00D603D9"/>
    <w:rsid w:val="00D636ED"/>
    <w:rsid w:val="00D663FE"/>
    <w:rsid w:val="00D67D0D"/>
    <w:rsid w:val="00D7417D"/>
    <w:rsid w:val="00D93711"/>
    <w:rsid w:val="00DA0486"/>
    <w:rsid w:val="00DB2A28"/>
    <w:rsid w:val="00DD7430"/>
    <w:rsid w:val="00DE03AB"/>
    <w:rsid w:val="00DE7454"/>
    <w:rsid w:val="00E031BB"/>
    <w:rsid w:val="00E20110"/>
    <w:rsid w:val="00E2074F"/>
    <w:rsid w:val="00E233E7"/>
    <w:rsid w:val="00E24512"/>
    <w:rsid w:val="00E2661D"/>
    <w:rsid w:val="00E313F3"/>
    <w:rsid w:val="00E5394C"/>
    <w:rsid w:val="00E5590D"/>
    <w:rsid w:val="00E562D4"/>
    <w:rsid w:val="00E57913"/>
    <w:rsid w:val="00E66D8B"/>
    <w:rsid w:val="00E67F0F"/>
    <w:rsid w:val="00E74E3C"/>
    <w:rsid w:val="00E77C60"/>
    <w:rsid w:val="00E844EF"/>
    <w:rsid w:val="00EA7E43"/>
    <w:rsid w:val="00EC550B"/>
    <w:rsid w:val="00EE0ED1"/>
    <w:rsid w:val="00EE3653"/>
    <w:rsid w:val="00EE48B2"/>
    <w:rsid w:val="00EE78B6"/>
    <w:rsid w:val="00EF4737"/>
    <w:rsid w:val="00EF606C"/>
    <w:rsid w:val="00EF79C7"/>
    <w:rsid w:val="00F02029"/>
    <w:rsid w:val="00F12032"/>
    <w:rsid w:val="00F258FF"/>
    <w:rsid w:val="00F26A60"/>
    <w:rsid w:val="00F26E08"/>
    <w:rsid w:val="00F30FC9"/>
    <w:rsid w:val="00F31AB9"/>
    <w:rsid w:val="00F326A7"/>
    <w:rsid w:val="00F42D4B"/>
    <w:rsid w:val="00F47E99"/>
    <w:rsid w:val="00F532E0"/>
    <w:rsid w:val="00F63080"/>
    <w:rsid w:val="00F6526B"/>
    <w:rsid w:val="00F675BF"/>
    <w:rsid w:val="00F725A0"/>
    <w:rsid w:val="00F81E1D"/>
    <w:rsid w:val="00F910FC"/>
    <w:rsid w:val="00F91A98"/>
    <w:rsid w:val="00F92044"/>
    <w:rsid w:val="00FA775D"/>
    <w:rsid w:val="00FB0EF5"/>
    <w:rsid w:val="00FB41C5"/>
    <w:rsid w:val="00FC0853"/>
    <w:rsid w:val="00FC3F95"/>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リスト段落"/>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character" w:customStyle="1" w:styleId="TANChar">
    <w:name w:val="TAN Char"/>
    <w:link w:val="TAN"/>
    <w:qFormat/>
    <w:locked/>
    <w:rsid w:val="00195DCA"/>
    <w:rPr>
      <w:rFonts w:ascii="Arial" w:eastAsia="Times New Roman" w:hAnsi="Arial" w:cs="Arial"/>
      <w:sz w:val="18"/>
    </w:rPr>
  </w:style>
  <w:style w:type="paragraph" w:customStyle="1" w:styleId="TAN">
    <w:name w:val="TAN"/>
    <w:basedOn w:val="a"/>
    <w:link w:val="TANChar"/>
    <w:rsid w:val="00195DCA"/>
    <w:pPr>
      <w:keepNext/>
      <w:keepLines/>
      <w:overflowPunct w:val="0"/>
      <w:autoSpaceDE w:val="0"/>
      <w:autoSpaceDN w:val="0"/>
      <w:adjustRightInd w:val="0"/>
      <w:ind w:left="851" w:hanging="851"/>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372775417">
      <w:bodyDiv w:val="1"/>
      <w:marLeft w:val="0"/>
      <w:marRight w:val="0"/>
      <w:marTop w:val="0"/>
      <w:marBottom w:val="0"/>
      <w:divBdr>
        <w:top w:val="none" w:sz="0" w:space="0" w:color="auto"/>
        <w:left w:val="none" w:sz="0" w:space="0" w:color="auto"/>
        <w:bottom w:val="none" w:sz="0" w:space="0" w:color="auto"/>
        <w:right w:val="none" w:sz="0" w:space="0" w:color="auto"/>
      </w:divBdr>
    </w:div>
    <w:div w:id="400907649">
      <w:bodyDiv w:val="1"/>
      <w:marLeft w:val="0"/>
      <w:marRight w:val="0"/>
      <w:marTop w:val="0"/>
      <w:marBottom w:val="0"/>
      <w:divBdr>
        <w:top w:val="none" w:sz="0" w:space="0" w:color="auto"/>
        <w:left w:val="none" w:sz="0" w:space="0" w:color="auto"/>
        <w:bottom w:val="none" w:sz="0" w:space="0" w:color="auto"/>
        <w:right w:val="none" w:sz="0" w:space="0" w:color="auto"/>
      </w:divBdr>
    </w:div>
    <w:div w:id="633221861">
      <w:bodyDiv w:val="1"/>
      <w:marLeft w:val="0"/>
      <w:marRight w:val="0"/>
      <w:marTop w:val="0"/>
      <w:marBottom w:val="0"/>
      <w:divBdr>
        <w:top w:val="none" w:sz="0" w:space="0" w:color="auto"/>
        <w:left w:val="none" w:sz="0" w:space="0" w:color="auto"/>
        <w:bottom w:val="none" w:sz="0" w:space="0" w:color="auto"/>
        <w:right w:val="none" w:sz="0" w:space="0" w:color="auto"/>
      </w:divBdr>
    </w:div>
    <w:div w:id="795294523">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81165106">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00332608">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1439</TotalTime>
  <Pages>4</Pages>
  <Words>1331</Words>
  <Characters>5966</Characters>
  <Application>Microsoft Office Word</Application>
  <DocSecurity>0</DocSecurity>
  <Lines>397</Lines>
  <Paragraphs>364</Paragraphs>
  <ScaleCrop>false</ScaleCrop>
  <Company>Microsoft</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liubo, CTC</cp:lastModifiedBy>
  <cp:revision>297</cp:revision>
  <dcterms:created xsi:type="dcterms:W3CDTF">2022-10-30T23:19:00Z</dcterms:created>
  <dcterms:modified xsi:type="dcterms:W3CDTF">2025-05-09T10:15:00Z</dcterms:modified>
</cp:coreProperties>
</file>